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2561D" w14:textId="77777777" w:rsidR="00610151" w:rsidRDefault="00610151">
      <w:pPr>
        <w:spacing w:after="0" w:line="240" w:lineRule="auto"/>
        <w:jc w:val="center"/>
        <w:rPr>
          <w:rFonts w:ascii="Gill Sans" w:eastAsia="Gill Sans" w:hAnsi="Gill Sans" w:cs="Gill Sans"/>
          <w:b/>
          <w:color w:val="000000"/>
          <w:sz w:val="28"/>
          <w:szCs w:val="28"/>
        </w:rPr>
      </w:pPr>
    </w:p>
    <w:p w14:paraId="3ACE8EC3" w14:textId="6B9A7A01" w:rsidR="00610151" w:rsidRPr="006D16BF" w:rsidRDefault="00765330" w:rsidP="00765330">
      <w:pPr>
        <w:jc w:val="center"/>
        <w:rPr>
          <w:rFonts w:ascii="Trebuchet MS" w:eastAsia="Trebuchet MS" w:hAnsi="Trebuchet MS" w:cs="Times New Roman"/>
          <w:b/>
          <w:color w:val="000000"/>
          <w:sz w:val="26"/>
          <w:szCs w:val="26"/>
          <w:highlight w:val="white"/>
        </w:rPr>
      </w:pPr>
      <w:r w:rsidRPr="006D16BF">
        <w:rPr>
          <w:rFonts w:ascii="Trebuchet MS" w:eastAsia="Trebuchet MS" w:hAnsi="Trebuchet MS" w:cs="Times New Roman"/>
          <w:b/>
          <w:color w:val="000000"/>
          <w:sz w:val="26"/>
          <w:szCs w:val="26"/>
          <w:highlight w:val="white"/>
        </w:rPr>
        <w:t xml:space="preserve">ANALISIS PENERAPAN ALAT PERAGA SEDERHANA PADA KELUARGA ANAK USIA SEKOLAH DENGAN MASALAH KESEHATAN GIGI DI DESA TONGKAINA KECAMATAN BUNAKEN  </w:t>
      </w:r>
    </w:p>
    <w:p w14:paraId="3432BEFF" w14:textId="6ADC2DE3" w:rsidR="006D16BF" w:rsidRPr="006D16BF" w:rsidRDefault="006D16BF" w:rsidP="00765330">
      <w:pPr>
        <w:jc w:val="center"/>
        <w:rPr>
          <w:rFonts w:ascii="Times New Roman" w:eastAsia="Trebuchet MS" w:hAnsi="Times New Roman" w:cs="Times New Roman"/>
          <w:bCs/>
          <w:i/>
          <w:iCs/>
          <w:color w:val="000000"/>
          <w:highlight w:val="white"/>
        </w:rPr>
      </w:pPr>
      <w:r w:rsidRPr="006D16BF">
        <w:rPr>
          <w:rFonts w:ascii="Times New Roman" w:eastAsia="Trebuchet MS" w:hAnsi="Times New Roman" w:cs="Times New Roman"/>
          <w:bCs/>
          <w:i/>
          <w:iCs/>
          <w:color w:val="000000"/>
          <w:highlight w:val="white"/>
        </w:rPr>
        <w:t>ANALYSIS OF THE IMPLEMENTATION OF SIMPLE EDUCATIONAL TOOLS IN FAMILIES OF SCHOOL-AGE CHILDREN WITH DENTAL HEALTH PROBLEMS IN TONGKAINA VILLAGE, BUNAKEN SUBDISTRICT</w:t>
      </w:r>
    </w:p>
    <w:p w14:paraId="4A7C54D4" w14:textId="65BEFD55" w:rsidR="00765330" w:rsidRPr="006D16BF" w:rsidRDefault="006D16BF">
      <w:pPr>
        <w:spacing w:after="0"/>
        <w:jc w:val="center"/>
        <w:rPr>
          <w:rFonts w:ascii="Trebuchet MS" w:eastAsia="Trebuchet MS" w:hAnsi="Trebuchet MS" w:cs="Times New Roman"/>
          <w:color w:val="000000"/>
          <w:sz w:val="20"/>
          <w:szCs w:val="20"/>
        </w:rPr>
      </w:pPr>
      <w:r w:rsidRPr="006D16BF">
        <w:rPr>
          <w:rFonts w:ascii="Trebuchet MS" w:eastAsia="Trebuchet MS" w:hAnsi="Trebuchet MS" w:cs="Times New Roman"/>
          <w:color w:val="000000"/>
          <w:sz w:val="20"/>
          <w:szCs w:val="20"/>
        </w:rPr>
        <w:t>Oleh:</w:t>
      </w:r>
    </w:p>
    <w:p w14:paraId="56300099" w14:textId="39BAB346" w:rsidR="00610151" w:rsidRPr="006D16BF" w:rsidRDefault="00000000">
      <w:pPr>
        <w:spacing w:after="0"/>
        <w:jc w:val="center"/>
        <w:rPr>
          <w:rFonts w:ascii="Trebuchet MS" w:eastAsia="Trebuchet MS" w:hAnsi="Trebuchet MS" w:cs="Times New Roman"/>
          <w:b/>
          <w:i/>
          <w:iCs/>
          <w:color w:val="000000"/>
          <w:sz w:val="20"/>
          <w:szCs w:val="20"/>
          <w:vertAlign w:val="superscript"/>
        </w:rPr>
      </w:pPr>
      <w:r w:rsidRPr="006D16BF">
        <w:rPr>
          <w:rFonts w:ascii="Trebuchet MS" w:eastAsia="Trebuchet MS" w:hAnsi="Trebuchet MS" w:cs="Times New Roman"/>
          <w:b/>
          <w:i/>
          <w:iCs/>
          <w:color w:val="000000"/>
          <w:sz w:val="20"/>
          <w:szCs w:val="20"/>
        </w:rPr>
        <w:tab/>
        <w:t>Witni Alicia Santi</w:t>
      </w:r>
      <w:r w:rsidRPr="006D16BF">
        <w:rPr>
          <w:rFonts w:ascii="Trebuchet MS" w:eastAsia="Trebuchet MS" w:hAnsi="Trebuchet MS" w:cs="Times New Roman"/>
          <w:b/>
          <w:i/>
          <w:iCs/>
          <w:color w:val="000000"/>
          <w:sz w:val="20"/>
          <w:szCs w:val="20"/>
          <w:vertAlign w:val="superscript"/>
        </w:rPr>
        <w:t>1</w:t>
      </w:r>
      <w:r w:rsidRPr="006D16BF">
        <w:rPr>
          <w:rFonts w:ascii="Trebuchet MS" w:eastAsia="Trebuchet MS" w:hAnsi="Trebuchet MS" w:cs="Times New Roman"/>
          <w:b/>
          <w:i/>
          <w:iCs/>
          <w:color w:val="000000"/>
          <w:sz w:val="20"/>
          <w:szCs w:val="20"/>
        </w:rPr>
        <w:t>, Septriani Renteng</w:t>
      </w:r>
      <w:r w:rsidRPr="006D16BF">
        <w:rPr>
          <w:rFonts w:ascii="Trebuchet MS" w:eastAsia="Trebuchet MS" w:hAnsi="Trebuchet MS" w:cs="Times New Roman"/>
          <w:b/>
          <w:i/>
          <w:iCs/>
          <w:color w:val="000000"/>
          <w:sz w:val="20"/>
          <w:szCs w:val="20"/>
          <w:vertAlign w:val="superscript"/>
        </w:rPr>
        <w:t>2</w:t>
      </w:r>
      <w:r w:rsidRPr="006D16BF">
        <w:rPr>
          <w:rFonts w:ascii="Trebuchet MS" w:eastAsia="Trebuchet MS" w:hAnsi="Trebuchet MS" w:cs="Times New Roman"/>
          <w:b/>
          <w:i/>
          <w:iCs/>
          <w:color w:val="000000"/>
          <w:sz w:val="20"/>
          <w:szCs w:val="20"/>
        </w:rPr>
        <w:t>, Juwita Toar</w:t>
      </w:r>
      <w:r w:rsidRPr="006D16BF">
        <w:rPr>
          <w:rFonts w:ascii="Trebuchet MS" w:eastAsia="Trebuchet MS" w:hAnsi="Trebuchet MS" w:cs="Times New Roman"/>
          <w:b/>
          <w:i/>
          <w:iCs/>
          <w:color w:val="000000"/>
          <w:sz w:val="20"/>
          <w:szCs w:val="20"/>
          <w:vertAlign w:val="superscript"/>
        </w:rPr>
        <w:t>3</w:t>
      </w:r>
      <w:r w:rsidRPr="006D16BF">
        <w:rPr>
          <w:rFonts w:ascii="Trebuchet MS" w:eastAsia="Trebuchet MS" w:hAnsi="Trebuchet MS" w:cs="Times New Roman"/>
          <w:b/>
          <w:i/>
          <w:iCs/>
          <w:color w:val="000000"/>
          <w:sz w:val="20"/>
          <w:szCs w:val="20"/>
          <w:vertAlign w:val="superscript"/>
        </w:rPr>
        <w:tab/>
      </w:r>
    </w:p>
    <w:p w14:paraId="330AA077" w14:textId="77777777" w:rsidR="00765330" w:rsidRPr="006D16BF" w:rsidRDefault="00765330">
      <w:pPr>
        <w:spacing w:after="0"/>
        <w:jc w:val="center"/>
        <w:rPr>
          <w:rFonts w:ascii="Trebuchet MS" w:eastAsia="Trebuchet MS" w:hAnsi="Trebuchet MS" w:cs="Times New Roman"/>
          <w:i/>
          <w:iCs/>
          <w:color w:val="000000"/>
          <w:sz w:val="20"/>
          <w:szCs w:val="20"/>
        </w:rPr>
      </w:pPr>
    </w:p>
    <w:p w14:paraId="0A93BF1C" w14:textId="77777777" w:rsidR="00610151" w:rsidRPr="006D16BF" w:rsidRDefault="00000000">
      <w:pPr>
        <w:spacing w:after="0"/>
        <w:jc w:val="center"/>
        <w:rPr>
          <w:rFonts w:ascii="Trebuchet MS" w:eastAsia="Trebuchet MS" w:hAnsi="Trebuchet MS" w:cs="Times New Roman"/>
          <w:color w:val="000000"/>
          <w:sz w:val="20"/>
          <w:szCs w:val="20"/>
          <w:lang w:val="en-US"/>
        </w:rPr>
      </w:pPr>
      <w:r w:rsidRPr="006D16BF">
        <w:rPr>
          <w:rFonts w:ascii="Trebuchet MS" w:eastAsia="Trebuchet MS" w:hAnsi="Trebuchet MS" w:cs="Times New Roman"/>
          <w:color w:val="000000"/>
          <w:sz w:val="20"/>
          <w:szCs w:val="20"/>
          <w:vertAlign w:val="superscript"/>
          <w:lang w:val="en-US"/>
        </w:rPr>
        <w:t>1</w:t>
      </w:r>
      <w:r w:rsidRPr="006D16BF">
        <w:rPr>
          <w:rFonts w:ascii="Trebuchet MS" w:eastAsia="Trebuchet MS" w:hAnsi="Trebuchet MS" w:cs="Times New Roman"/>
          <w:color w:val="000000"/>
          <w:sz w:val="20"/>
          <w:szCs w:val="20"/>
          <w:lang w:val="en-US"/>
        </w:rPr>
        <w:t>Mahasiswa Program Studi Profesi Ners Fakultas Kedokteran, Universitas Sam Ratulangi</w:t>
      </w:r>
    </w:p>
    <w:p w14:paraId="61173A42" w14:textId="77777777" w:rsidR="00610151" w:rsidRPr="006D16BF" w:rsidRDefault="00000000">
      <w:pPr>
        <w:spacing w:after="0"/>
        <w:jc w:val="center"/>
        <w:rPr>
          <w:rFonts w:ascii="Trebuchet MS" w:eastAsia="Trebuchet MS" w:hAnsi="Trebuchet MS" w:cs="Times New Roman"/>
          <w:color w:val="000000"/>
          <w:sz w:val="20"/>
          <w:szCs w:val="20"/>
          <w:vertAlign w:val="superscript"/>
          <w:lang w:val="en-US"/>
        </w:rPr>
      </w:pPr>
      <w:r w:rsidRPr="006D16BF">
        <w:rPr>
          <w:rFonts w:ascii="Trebuchet MS" w:eastAsia="Trebuchet MS" w:hAnsi="Trebuchet MS" w:cs="Times New Roman"/>
          <w:color w:val="000000"/>
          <w:sz w:val="20"/>
          <w:szCs w:val="20"/>
          <w:vertAlign w:val="superscript"/>
          <w:lang w:val="en-US"/>
        </w:rPr>
        <w:t>2-3</w:t>
      </w:r>
      <w:r w:rsidRPr="006D16BF">
        <w:rPr>
          <w:rFonts w:ascii="Trebuchet MS" w:eastAsia="Trebuchet MS" w:hAnsi="Trebuchet MS" w:cs="Times New Roman"/>
          <w:color w:val="000000"/>
          <w:sz w:val="20"/>
          <w:szCs w:val="20"/>
          <w:lang w:val="en-US"/>
        </w:rPr>
        <w:t>Program Studi Profesi Ners Fakultas Kedokteran, Universitas Sam Ratulangi</w:t>
      </w:r>
      <w:r w:rsidRPr="006D16BF">
        <w:rPr>
          <w:rFonts w:ascii="Trebuchet MS" w:eastAsia="Trebuchet MS" w:hAnsi="Trebuchet MS" w:cs="Times New Roman"/>
          <w:color w:val="000000"/>
          <w:sz w:val="20"/>
          <w:szCs w:val="20"/>
          <w:vertAlign w:val="superscript"/>
          <w:lang w:val="en-US"/>
        </w:rPr>
        <w:t xml:space="preserve"> </w:t>
      </w:r>
    </w:p>
    <w:p w14:paraId="5322F2CE" w14:textId="77777777" w:rsidR="00610151" w:rsidRPr="006D16BF" w:rsidRDefault="00000000">
      <w:pPr>
        <w:spacing w:after="0"/>
        <w:jc w:val="center"/>
        <w:rPr>
          <w:rFonts w:ascii="Trebuchet MS" w:eastAsia="Trebuchet MS" w:hAnsi="Trebuchet MS" w:cs="Times New Roman"/>
          <w:color w:val="000000"/>
          <w:sz w:val="20"/>
          <w:szCs w:val="20"/>
          <w:lang w:val="en-US"/>
        </w:rPr>
      </w:pPr>
      <w:r w:rsidRPr="006D16BF">
        <w:rPr>
          <w:rFonts w:ascii="Trebuchet MS" w:eastAsia="Trebuchet MS" w:hAnsi="Trebuchet MS" w:cs="Times New Roman"/>
          <w:color w:val="000000"/>
          <w:sz w:val="20"/>
          <w:szCs w:val="20"/>
          <w:lang w:val="en-US"/>
        </w:rPr>
        <w:t>*</w:t>
      </w:r>
      <w:r w:rsidRPr="006D16BF">
        <w:rPr>
          <w:rFonts w:ascii="Trebuchet MS" w:eastAsia="Trebuchet MS" w:hAnsi="Trebuchet MS" w:cs="Times New Roman"/>
          <w:i/>
          <w:sz w:val="20"/>
          <w:szCs w:val="20"/>
          <w:lang w:val="en-US"/>
        </w:rPr>
        <w:t>E-mail: witnialiciasanti@gmail.com</w:t>
      </w:r>
    </w:p>
    <w:p w14:paraId="1BF92FEA" w14:textId="77777777" w:rsidR="00610151" w:rsidRPr="00260F69" w:rsidRDefault="00610151" w:rsidP="00517F09">
      <w:pPr>
        <w:spacing w:after="0" w:line="360" w:lineRule="auto"/>
        <w:rPr>
          <w:rFonts w:ascii="Trebuchet MS" w:eastAsia="Trebuchet MS" w:hAnsi="Trebuchet MS" w:cs="Trebuchet MS"/>
          <w:b/>
          <w:i/>
          <w:color w:val="000000"/>
          <w:sz w:val="20"/>
          <w:szCs w:val="20"/>
          <w:lang w:val="en-US"/>
        </w:rPr>
      </w:pPr>
    </w:p>
    <w:p w14:paraId="41AFE160" w14:textId="77777777" w:rsidR="00610151" w:rsidRPr="006D16BF" w:rsidRDefault="00000000">
      <w:pPr>
        <w:spacing w:after="0" w:line="360" w:lineRule="auto"/>
        <w:jc w:val="center"/>
        <w:rPr>
          <w:rFonts w:ascii="Trebuchet MS" w:eastAsia="Trebuchet MS" w:hAnsi="Trebuchet MS" w:cs="Trebuchet MS"/>
          <w:b/>
          <w:color w:val="000000"/>
          <w:sz w:val="20"/>
          <w:szCs w:val="20"/>
          <w:lang w:val="en-US"/>
        </w:rPr>
      </w:pPr>
      <w:r w:rsidRPr="006D16BF">
        <w:rPr>
          <w:rFonts w:ascii="Trebuchet MS" w:eastAsia="Trebuchet MS" w:hAnsi="Trebuchet MS" w:cs="Trebuchet MS"/>
          <w:b/>
          <w:i/>
          <w:color w:val="000000"/>
          <w:sz w:val="20"/>
          <w:szCs w:val="20"/>
          <w:lang w:val="en-US"/>
        </w:rPr>
        <w:t>Abstract</w:t>
      </w:r>
    </w:p>
    <w:p w14:paraId="1365F0A7" w14:textId="77777777" w:rsidR="00610151" w:rsidRPr="006D16BF" w:rsidRDefault="00000000">
      <w:pPr>
        <w:spacing w:line="240" w:lineRule="auto"/>
        <w:jc w:val="both"/>
        <w:rPr>
          <w:rFonts w:ascii="Trebuchet MS" w:eastAsia="Trebuchet MS" w:hAnsi="Trebuchet MS" w:cs="Trebuchet MS"/>
          <w:i/>
          <w:color w:val="000000"/>
          <w:sz w:val="20"/>
          <w:szCs w:val="20"/>
          <w:lang w:val="en-US"/>
        </w:rPr>
      </w:pPr>
      <w:r w:rsidRPr="006D16BF">
        <w:rPr>
          <w:rFonts w:ascii="Trebuchet MS" w:eastAsia="Trebuchet MS" w:hAnsi="Trebuchet MS" w:cs="Trebuchet MS"/>
          <w:b/>
          <w:i/>
          <w:color w:val="000000"/>
          <w:sz w:val="20"/>
          <w:szCs w:val="20"/>
          <w:lang w:val="en-US"/>
        </w:rPr>
        <w:t>Background:</w:t>
      </w:r>
      <w:r w:rsidRPr="006D16BF">
        <w:rPr>
          <w:rFonts w:ascii="Trebuchet MS" w:eastAsia="Trebuchet MS" w:hAnsi="Trebuchet MS" w:cs="Trebuchet MS"/>
          <w:i/>
          <w:color w:val="000000"/>
          <w:sz w:val="20"/>
          <w:szCs w:val="20"/>
          <w:lang w:val="en-US"/>
        </w:rPr>
        <w:t xml:space="preserve"> </w:t>
      </w:r>
      <w:r w:rsidRPr="006D16BF">
        <w:rPr>
          <w:rFonts w:ascii="Trebuchet MS" w:eastAsia="Trebuchet MS" w:hAnsi="Trebuchet MS" w:cs="Trebuchet MS"/>
          <w:i/>
          <w:sz w:val="20"/>
          <w:szCs w:val="20"/>
          <w:lang w:val="en-US"/>
        </w:rPr>
        <w:t xml:space="preserve">Background: Tooth decay is one of the health problems for children. One of the dental decays experienced by children occurs due to parents' lack of knowledge about children's dental and oral health. Oral health that is not paid attention to will have an impact on the development of children's overall abilities, both physical and intellectual. Health education is one of the effective ways for school-age children because it is an age group that is sensitive and easily receptive to change and is a very important domain to influence a person's behavior, so that the higher or more knowledge a person gets, the better the behavior shown by the person. </w:t>
      </w:r>
      <w:r w:rsidRPr="006D16BF">
        <w:rPr>
          <w:rFonts w:ascii="Trebuchet MS" w:eastAsia="Trebuchet MS" w:hAnsi="Trebuchet MS" w:cs="Trebuchet MS"/>
          <w:b/>
          <w:i/>
          <w:color w:val="000000"/>
          <w:sz w:val="20"/>
          <w:szCs w:val="20"/>
          <w:lang w:val="en-US"/>
        </w:rPr>
        <w:t>Objective:</w:t>
      </w:r>
      <w:r w:rsidRPr="006D16BF">
        <w:rPr>
          <w:rFonts w:ascii="Trebuchet MS" w:eastAsia="Trebuchet MS" w:hAnsi="Trebuchet MS" w:cs="Trebuchet MS"/>
          <w:i/>
          <w:color w:val="000000"/>
          <w:sz w:val="20"/>
          <w:szCs w:val="20"/>
          <w:lang w:val="en-US"/>
        </w:rPr>
        <w:t xml:space="preserve"> To present the results of practice in the form of nursing care in families with the developmental stage of school-age children with a health education and demonstration </w:t>
      </w:r>
      <w:r w:rsidRPr="006D16BF">
        <w:rPr>
          <w:rFonts w:ascii="Trebuchet MS" w:eastAsia="Trebuchet MS" w:hAnsi="Trebuchet MS" w:cs="Trebuchet MS"/>
          <w:i/>
          <w:sz w:val="20"/>
          <w:szCs w:val="20"/>
          <w:lang w:val="en-US"/>
        </w:rPr>
        <w:t xml:space="preserve">approach. </w:t>
      </w:r>
      <w:r w:rsidRPr="006D16BF">
        <w:rPr>
          <w:rFonts w:ascii="Trebuchet MS" w:eastAsia="Trebuchet MS" w:hAnsi="Trebuchet MS" w:cs="Trebuchet MS"/>
          <w:b/>
          <w:i/>
          <w:sz w:val="20"/>
          <w:szCs w:val="20"/>
          <w:lang w:val="en-US"/>
        </w:rPr>
        <w:t>Methods:</w:t>
      </w:r>
      <w:r w:rsidRPr="006D16BF">
        <w:rPr>
          <w:rFonts w:ascii="Trebuchet MS" w:eastAsia="Trebuchet MS" w:hAnsi="Trebuchet MS" w:cs="Trebuchet MS"/>
          <w:i/>
          <w:sz w:val="20"/>
          <w:szCs w:val="20"/>
          <w:lang w:val="en-US"/>
        </w:rPr>
        <w:t xml:space="preserve"> Case study, with health education methods, guessing games, audiovisual, making miniature teeth and mouth, brushing demonstrations. </w:t>
      </w:r>
      <w:r w:rsidRPr="006D16BF">
        <w:rPr>
          <w:rFonts w:ascii="Trebuchet MS" w:eastAsia="Trebuchet MS" w:hAnsi="Trebuchet MS" w:cs="Trebuchet MS"/>
          <w:b/>
          <w:i/>
          <w:sz w:val="20"/>
          <w:szCs w:val="20"/>
          <w:lang w:val="en-US"/>
        </w:rPr>
        <w:t>Results:</w:t>
      </w:r>
      <w:r w:rsidRPr="006D16BF">
        <w:rPr>
          <w:rFonts w:ascii="Trebuchet MS" w:eastAsia="Trebuchet MS" w:hAnsi="Trebuchet MS" w:cs="Trebuchet MS"/>
          <w:i/>
          <w:sz w:val="20"/>
          <w:szCs w:val="20"/>
          <w:lang w:val="en-US"/>
        </w:rPr>
        <w:t xml:space="preserve"> After providing health education interventions, guessing games, audiovisuals, making miniature teeth and mouth, and toothbrush demonstrations were effective in increasing family knowledge about the developmental stages of families of school-age children. </w:t>
      </w:r>
      <w:r w:rsidRPr="006D16BF">
        <w:rPr>
          <w:rFonts w:ascii="Trebuchet MS" w:eastAsia="Trebuchet MS" w:hAnsi="Trebuchet MS" w:cs="Trebuchet MS"/>
          <w:b/>
          <w:i/>
          <w:sz w:val="20"/>
          <w:szCs w:val="20"/>
          <w:lang w:val="en-US"/>
        </w:rPr>
        <w:t>Conclusion:</w:t>
      </w:r>
      <w:r w:rsidRPr="006D16BF">
        <w:rPr>
          <w:rFonts w:ascii="Trebuchet MS" w:eastAsia="Trebuchet MS" w:hAnsi="Trebuchet MS" w:cs="Trebuchet MS"/>
          <w:i/>
          <w:sz w:val="20"/>
          <w:szCs w:val="20"/>
          <w:lang w:val="en-US"/>
        </w:rPr>
        <w:t xml:space="preserve"> The provisi</w:t>
      </w:r>
      <w:r w:rsidRPr="006D16BF">
        <w:rPr>
          <w:rFonts w:ascii="Trebuchet MS" w:eastAsia="Trebuchet MS" w:hAnsi="Trebuchet MS" w:cs="Trebuchet MS"/>
          <w:i/>
          <w:color w:val="000000"/>
          <w:sz w:val="20"/>
          <w:szCs w:val="20"/>
          <w:lang w:val="en-US"/>
        </w:rPr>
        <w:t>on of health education interventions, play therapy and demonstrations is useful in adding insight and knowledge to families to maintain dental and oral health.</w:t>
      </w:r>
    </w:p>
    <w:p w14:paraId="48CDE2CD" w14:textId="77777777" w:rsidR="00610151" w:rsidRPr="006D16BF" w:rsidRDefault="00000000" w:rsidP="006D16BF">
      <w:pPr>
        <w:spacing w:after="0" w:line="240" w:lineRule="auto"/>
        <w:rPr>
          <w:rFonts w:ascii="Trebuchet MS" w:eastAsia="Trebuchet MS" w:hAnsi="Trebuchet MS" w:cs="Trebuchet MS"/>
          <w:i/>
          <w:color w:val="000000"/>
          <w:sz w:val="20"/>
          <w:szCs w:val="20"/>
          <w:lang w:val="en-US"/>
        </w:rPr>
      </w:pPr>
      <w:r w:rsidRPr="006D16BF">
        <w:rPr>
          <w:rFonts w:ascii="Trebuchet MS" w:eastAsia="Trebuchet MS" w:hAnsi="Trebuchet MS" w:cs="Trebuchet MS"/>
          <w:b/>
          <w:i/>
          <w:color w:val="000000"/>
          <w:sz w:val="20"/>
          <w:szCs w:val="20"/>
          <w:lang w:val="en-US"/>
        </w:rPr>
        <w:t>Keywords:</w:t>
      </w:r>
      <w:r w:rsidRPr="006D16BF">
        <w:rPr>
          <w:rFonts w:ascii="Trebuchet MS" w:eastAsia="Trebuchet MS" w:hAnsi="Trebuchet MS" w:cs="Trebuchet MS"/>
          <w:i/>
          <w:color w:val="000000"/>
          <w:sz w:val="20"/>
          <w:szCs w:val="20"/>
          <w:lang w:val="en-US"/>
        </w:rPr>
        <w:t xml:space="preserve"> School Age Children, Health Education, Play Therapy, Simple Teaching Aids</w:t>
      </w:r>
    </w:p>
    <w:p w14:paraId="1D82ABCA" w14:textId="77777777" w:rsidR="00610151" w:rsidRPr="006D16BF" w:rsidRDefault="00610151">
      <w:pPr>
        <w:spacing w:line="240" w:lineRule="auto"/>
        <w:rPr>
          <w:rFonts w:ascii="Trebuchet MS" w:eastAsia="Trebuchet MS" w:hAnsi="Trebuchet MS" w:cs="Trebuchet MS"/>
          <w:i/>
          <w:sz w:val="20"/>
          <w:szCs w:val="20"/>
          <w:lang w:val="en-US"/>
        </w:rPr>
      </w:pPr>
    </w:p>
    <w:p w14:paraId="39052BA4" w14:textId="77777777" w:rsidR="00610151" w:rsidRPr="006D16BF" w:rsidRDefault="00000000">
      <w:pPr>
        <w:spacing w:after="0" w:line="360" w:lineRule="auto"/>
        <w:ind w:left="720" w:hanging="720"/>
        <w:jc w:val="center"/>
        <w:rPr>
          <w:rFonts w:ascii="Trebuchet MS" w:eastAsia="Trebuchet MS" w:hAnsi="Trebuchet MS" w:cs="Trebuchet MS"/>
          <w:b/>
          <w:color w:val="000000"/>
          <w:sz w:val="20"/>
          <w:szCs w:val="20"/>
          <w:lang w:val="en-US"/>
        </w:rPr>
      </w:pPr>
      <w:r w:rsidRPr="006D16BF">
        <w:rPr>
          <w:rFonts w:ascii="Trebuchet MS" w:eastAsia="Trebuchet MS" w:hAnsi="Trebuchet MS" w:cs="Trebuchet MS"/>
          <w:b/>
          <w:color w:val="000000"/>
          <w:sz w:val="20"/>
          <w:szCs w:val="20"/>
          <w:lang w:val="en-US"/>
        </w:rPr>
        <w:t xml:space="preserve">Abstrak </w:t>
      </w:r>
    </w:p>
    <w:p w14:paraId="16680274" w14:textId="77777777" w:rsidR="00610151" w:rsidRPr="006D16BF" w:rsidRDefault="00000000">
      <w:pPr>
        <w:spacing w:line="240" w:lineRule="auto"/>
        <w:jc w:val="both"/>
        <w:rPr>
          <w:rFonts w:ascii="Trebuchet MS" w:eastAsia="Trebuchet MS" w:hAnsi="Trebuchet MS" w:cs="Trebuchet MS"/>
          <w:color w:val="FF0000"/>
          <w:sz w:val="20"/>
          <w:szCs w:val="20"/>
          <w:lang w:val="en-US"/>
        </w:rPr>
      </w:pPr>
      <w:r w:rsidRPr="006D16BF">
        <w:rPr>
          <w:rFonts w:ascii="Trebuchet MS" w:eastAsia="Trebuchet MS" w:hAnsi="Trebuchet MS" w:cs="Trebuchet MS"/>
          <w:b/>
          <w:color w:val="000000"/>
          <w:sz w:val="20"/>
          <w:szCs w:val="20"/>
          <w:lang w:val="en-US"/>
        </w:rPr>
        <w:t>Latar belakang:</w:t>
      </w:r>
      <w:r w:rsidRPr="006D16BF">
        <w:rPr>
          <w:rFonts w:ascii="Trebuchet MS" w:eastAsia="Trebuchet MS" w:hAnsi="Trebuchet MS" w:cs="Trebuchet MS"/>
          <w:color w:val="000000"/>
          <w:sz w:val="20"/>
          <w:szCs w:val="20"/>
          <w:lang w:val="en-US"/>
        </w:rPr>
        <w:t xml:space="preserve"> </w:t>
      </w:r>
      <w:r w:rsidRPr="006D16BF">
        <w:rPr>
          <w:rFonts w:ascii="Trebuchet MS" w:eastAsia="Trebuchet MS" w:hAnsi="Trebuchet MS" w:cs="Trebuchet MS"/>
          <w:sz w:val="20"/>
          <w:szCs w:val="20"/>
          <w:lang w:val="en-US"/>
        </w:rPr>
        <w:t>Kerusakan gigi menjadi salah satu masalah kesehatan bagi anak-anak. Kerusakan gigi yang dialami anak-anak salah satunya terjadi karena kurangnya pengetahuan orang tua terhadap kesehatan gigi dan mulut anak.</w:t>
      </w:r>
      <w:r w:rsidRPr="006D16BF">
        <w:rPr>
          <w:rFonts w:ascii="Trebuchet MS" w:eastAsia="Trebuchet MS" w:hAnsi="Trebuchet MS" w:cs="Trebuchet MS"/>
          <w:color w:val="FF0000"/>
          <w:sz w:val="20"/>
          <w:szCs w:val="20"/>
          <w:lang w:val="en-US"/>
        </w:rPr>
        <w:t xml:space="preserve"> </w:t>
      </w:r>
      <w:r w:rsidRPr="006D16BF">
        <w:rPr>
          <w:rFonts w:ascii="Trebuchet MS" w:eastAsia="Trebuchet MS" w:hAnsi="Trebuchet MS" w:cs="Trebuchet MS"/>
          <w:sz w:val="20"/>
          <w:szCs w:val="20"/>
          <w:lang w:val="en-US"/>
        </w:rPr>
        <w:t>Kesehatan oral yang tidak diperhatikan akan berdampak pada perkembangan kemampuan anak secara keseluruhan, baik fisik maupun kecerdasannya. Pendidikan kesehatan adalah salah satu cara yang efektif bagi anak usia sekolah karena merupakan kelompok umur yang peka dan mudah menerima perubahan serta merupakan domain yang sangat penting untuk mempengaruhi perilaku seseorang, sehingga semakin tinggi atau semakin banyak pengetahuan yang didapat seseorang maka semakin baik perilaku yang ditunjukkan oleh orang tersebut.</w:t>
      </w:r>
      <w:r w:rsidRPr="006D16BF">
        <w:rPr>
          <w:rFonts w:ascii="Trebuchet MS" w:eastAsia="Trebuchet MS" w:hAnsi="Trebuchet MS" w:cs="Trebuchet MS"/>
          <w:color w:val="FF0000"/>
          <w:sz w:val="20"/>
          <w:szCs w:val="20"/>
          <w:lang w:val="en-US"/>
        </w:rPr>
        <w:t xml:space="preserve"> </w:t>
      </w:r>
      <w:r w:rsidRPr="006D16BF">
        <w:rPr>
          <w:rFonts w:ascii="Trebuchet MS" w:eastAsia="Trebuchet MS" w:hAnsi="Trebuchet MS" w:cs="Trebuchet MS"/>
          <w:b/>
          <w:color w:val="000000"/>
          <w:sz w:val="20"/>
          <w:szCs w:val="20"/>
          <w:lang w:val="en-US"/>
        </w:rPr>
        <w:t>Tujuan:</w:t>
      </w:r>
      <w:r w:rsidRPr="006D16BF">
        <w:rPr>
          <w:rFonts w:ascii="Trebuchet MS" w:eastAsia="Trebuchet MS" w:hAnsi="Trebuchet MS" w:cs="Trebuchet MS"/>
          <w:sz w:val="20"/>
          <w:szCs w:val="20"/>
          <w:lang w:val="en-US"/>
        </w:rPr>
        <w:t xml:space="preserve"> Penelitian ini dilakukan untuk menganalisis asuhan keperawatan pada keluarga dengan tahap perkembangan anak usia sekolah dengan pendekatan pendidikan kesehatan dan demonstrasi. </w:t>
      </w:r>
      <w:r w:rsidRPr="006D16BF">
        <w:rPr>
          <w:rFonts w:ascii="Trebuchet MS" w:eastAsia="Trebuchet MS" w:hAnsi="Trebuchet MS" w:cs="Trebuchet MS"/>
          <w:b/>
          <w:color w:val="000000"/>
          <w:sz w:val="20"/>
          <w:szCs w:val="20"/>
          <w:lang w:val="en-US"/>
        </w:rPr>
        <w:t>Metode:</w:t>
      </w:r>
      <w:r w:rsidRPr="006D16BF">
        <w:rPr>
          <w:rFonts w:ascii="Trebuchet MS" w:eastAsia="Trebuchet MS" w:hAnsi="Trebuchet MS" w:cs="Trebuchet MS"/>
          <w:sz w:val="20"/>
          <w:szCs w:val="20"/>
          <w:lang w:val="en-US"/>
        </w:rPr>
        <w:t xml:space="preserve"> Studi kasus, dengan metode edukasi kesehatan, permainan tebak gambar, audiovisual, pembuatan miniatur gigi dan mulut, demonstrasi menyikat gigi.</w:t>
      </w:r>
      <w:r w:rsidRPr="006D16BF">
        <w:rPr>
          <w:rFonts w:ascii="Trebuchet MS" w:eastAsia="Trebuchet MS" w:hAnsi="Trebuchet MS" w:cs="Trebuchet MS"/>
          <w:color w:val="000000"/>
          <w:sz w:val="20"/>
          <w:szCs w:val="20"/>
          <w:lang w:val="en-US"/>
        </w:rPr>
        <w:t xml:space="preserve"> </w:t>
      </w:r>
      <w:r w:rsidRPr="006D16BF">
        <w:rPr>
          <w:rFonts w:ascii="Trebuchet MS" w:eastAsia="Trebuchet MS" w:hAnsi="Trebuchet MS" w:cs="Trebuchet MS"/>
          <w:b/>
          <w:color w:val="000000"/>
          <w:sz w:val="20"/>
          <w:szCs w:val="20"/>
          <w:lang w:val="en-US"/>
        </w:rPr>
        <w:t>Hasil:</w:t>
      </w:r>
      <w:r w:rsidRPr="006D16BF">
        <w:rPr>
          <w:rFonts w:ascii="Trebuchet MS" w:eastAsia="Trebuchet MS" w:hAnsi="Trebuchet MS" w:cs="Trebuchet MS"/>
          <w:color w:val="000000"/>
          <w:sz w:val="20"/>
          <w:szCs w:val="20"/>
          <w:lang w:val="en-US"/>
        </w:rPr>
        <w:t xml:space="preserve"> </w:t>
      </w:r>
      <w:r w:rsidRPr="006D16BF">
        <w:rPr>
          <w:rFonts w:ascii="Trebuchet MS" w:eastAsia="Trebuchet MS" w:hAnsi="Trebuchet MS" w:cs="Trebuchet MS"/>
          <w:sz w:val="20"/>
          <w:szCs w:val="20"/>
          <w:lang w:val="en-US"/>
        </w:rPr>
        <w:t xml:space="preserve">Setelah pemberian intervensi edukasi kesehatan, permainan tebak gambar, audiovisual, pembuatan miniatur gigi dan mulut, serta demonstrasi sikat gigi efektif untuk meningkatkan pengetahuan keluarga terhadap tahap perkembangan keluarga anak usia sekolah. </w:t>
      </w:r>
      <w:r w:rsidRPr="006D16BF">
        <w:rPr>
          <w:rFonts w:ascii="Trebuchet MS" w:eastAsia="Trebuchet MS" w:hAnsi="Trebuchet MS" w:cs="Trebuchet MS"/>
          <w:b/>
          <w:color w:val="000000"/>
          <w:sz w:val="20"/>
          <w:szCs w:val="20"/>
          <w:lang w:val="en-US"/>
        </w:rPr>
        <w:t>Kesimpulan</w:t>
      </w:r>
      <w:r w:rsidRPr="006D16BF">
        <w:rPr>
          <w:rFonts w:ascii="Trebuchet MS" w:eastAsia="Trebuchet MS" w:hAnsi="Trebuchet MS" w:cs="Trebuchet MS"/>
          <w:b/>
          <w:sz w:val="20"/>
          <w:szCs w:val="20"/>
          <w:lang w:val="en-US"/>
        </w:rPr>
        <w:t>:</w:t>
      </w:r>
      <w:r w:rsidRPr="006D16BF">
        <w:rPr>
          <w:rFonts w:ascii="Trebuchet MS" w:eastAsia="Trebuchet MS" w:hAnsi="Trebuchet MS" w:cs="Trebuchet MS"/>
          <w:sz w:val="20"/>
          <w:szCs w:val="20"/>
          <w:lang w:val="en-US"/>
        </w:rPr>
        <w:t xml:space="preserve"> Pemberian intervensi pendidikan kesehatan, terapi bermain dan demonstrasi bermanfaat menambah wawasan dan pengetahuan pada keluarga untuk memelihara kesehatan gigi dan mulut.</w:t>
      </w:r>
    </w:p>
    <w:p w14:paraId="041D82AE" w14:textId="2CE8D9FC" w:rsidR="006D16BF" w:rsidRPr="006D16BF" w:rsidRDefault="00000000" w:rsidP="0085649C">
      <w:pPr>
        <w:spacing w:line="240" w:lineRule="auto"/>
        <w:jc w:val="both"/>
        <w:rPr>
          <w:rFonts w:ascii="Trebuchet MS" w:eastAsia="Trebuchet MS" w:hAnsi="Trebuchet MS" w:cs="Trebuchet MS"/>
          <w:sz w:val="20"/>
          <w:szCs w:val="20"/>
        </w:rPr>
      </w:pPr>
      <w:r w:rsidRPr="006D16BF">
        <w:rPr>
          <w:rFonts w:ascii="Trebuchet MS" w:eastAsia="Trebuchet MS" w:hAnsi="Trebuchet MS" w:cs="Trebuchet MS"/>
          <w:b/>
          <w:color w:val="000000"/>
          <w:sz w:val="20"/>
          <w:szCs w:val="20"/>
          <w:highlight w:val="white"/>
        </w:rPr>
        <w:t>Kata kunci:</w:t>
      </w:r>
      <w:r w:rsidRPr="006D16BF">
        <w:rPr>
          <w:rFonts w:ascii="Trebuchet MS" w:eastAsia="Trebuchet MS" w:hAnsi="Trebuchet MS" w:cs="Trebuchet MS"/>
          <w:color w:val="000000"/>
          <w:sz w:val="20"/>
          <w:szCs w:val="20"/>
          <w:highlight w:val="white"/>
        </w:rPr>
        <w:t xml:space="preserve"> </w:t>
      </w:r>
      <w:r w:rsidRPr="006D16BF">
        <w:rPr>
          <w:rFonts w:ascii="Trebuchet MS" w:eastAsia="Trebuchet MS" w:hAnsi="Trebuchet MS" w:cs="Trebuchet MS"/>
          <w:sz w:val="20"/>
          <w:szCs w:val="20"/>
        </w:rPr>
        <w:t>Anak Usia Sekolah, Pendidikan Kesehatan, Terapi Bermain, Alat Peraga Sederhana</w:t>
      </w:r>
    </w:p>
    <w:p w14:paraId="197466BA" w14:textId="6C46D1B0" w:rsidR="00610151" w:rsidRPr="0085649C" w:rsidRDefault="00765330" w:rsidP="0085649C">
      <w:pPr>
        <w:pStyle w:val="ListParagraph"/>
        <w:numPr>
          <w:ilvl w:val="0"/>
          <w:numId w:val="5"/>
        </w:numPr>
        <w:spacing w:after="0" w:line="240" w:lineRule="auto"/>
        <w:ind w:left="284" w:hanging="284"/>
        <w:rPr>
          <w:rFonts w:ascii="Segoe UI" w:eastAsia="Quattrocento Sans" w:hAnsi="Segoe UI" w:cs="Segoe UI"/>
        </w:rPr>
      </w:pPr>
      <w:r w:rsidRPr="0085649C">
        <w:rPr>
          <w:rFonts w:ascii="Segoe UI" w:eastAsia="Quattrocento Sans" w:hAnsi="Segoe UI" w:cs="Segoe UI"/>
          <w:b/>
          <w:color w:val="000000"/>
          <w:highlight w:val="white"/>
        </w:rPr>
        <w:lastRenderedPageBreak/>
        <w:t>PENDAHULUAN</w:t>
      </w:r>
    </w:p>
    <w:p w14:paraId="15B4DC9A" w14:textId="77777777" w:rsidR="0085649C" w:rsidRPr="0085649C" w:rsidRDefault="0085649C" w:rsidP="0085649C">
      <w:pPr>
        <w:pStyle w:val="ListParagraph"/>
        <w:spacing w:after="0" w:line="240" w:lineRule="auto"/>
        <w:ind w:left="284"/>
        <w:rPr>
          <w:rFonts w:ascii="Segoe UI" w:eastAsia="Quattrocento Sans" w:hAnsi="Segoe UI" w:cs="Segoe UI"/>
        </w:rPr>
      </w:pPr>
    </w:p>
    <w:p w14:paraId="21959AFB" w14:textId="77777777" w:rsidR="00610151" w:rsidRPr="00765330" w:rsidRDefault="00000000" w:rsidP="0085649C">
      <w:pPr>
        <w:spacing w:after="0" w:line="240" w:lineRule="auto"/>
        <w:ind w:firstLine="720"/>
        <w:jc w:val="both"/>
        <w:rPr>
          <w:rFonts w:ascii="Segoe UI" w:eastAsia="Quattrocento Sans" w:hAnsi="Segoe UI" w:cs="Segoe UI"/>
        </w:rPr>
      </w:pPr>
      <w:r w:rsidRPr="00765330">
        <w:rPr>
          <w:rFonts w:ascii="Segoe UI" w:eastAsia="Quattrocento Sans" w:hAnsi="Segoe UI" w:cs="Segoe UI"/>
        </w:rPr>
        <w:t>Derajat kesehatan anak pada saat ini belum bisa dikatakan baik karena masih banyak terdapat masalah kesehatan khususnya pada anak sekolah. Permasalahan perilaku kesehatan pada anak usia sekolah dasar biasanya berkaitan dengan kebersihan perorangan, lingkungan dan munculnya berbagai penyakit yang sering menyerang anak usia sekolah World Health Organization (WHO) 2016.</w:t>
      </w:r>
    </w:p>
    <w:p w14:paraId="03674583" w14:textId="77777777" w:rsidR="00610151" w:rsidRPr="00765330" w:rsidRDefault="00000000" w:rsidP="0085649C">
      <w:pPr>
        <w:spacing w:after="0" w:line="240" w:lineRule="auto"/>
        <w:ind w:firstLine="720"/>
        <w:jc w:val="both"/>
        <w:rPr>
          <w:rFonts w:ascii="Segoe UI" w:eastAsia="Quattrocento Sans" w:hAnsi="Segoe UI" w:cs="Segoe UI"/>
          <w:lang w:val="en-US"/>
        </w:rPr>
      </w:pPr>
      <w:r w:rsidRPr="00765330">
        <w:rPr>
          <w:rFonts w:ascii="Segoe UI" w:eastAsia="Quattrocento Sans" w:hAnsi="Segoe UI" w:cs="Segoe UI"/>
        </w:rPr>
        <w:t xml:space="preserve">Berbagai macam program telah dilakukan pemerintah untuk meningkatkan derajat Perilaku Hidup Bersih dan Sehat (PHBS) adalah semua perilaku kesehatan yang dilakukan karena kesadaran pribadi sehingga keluarga dan seluruh anggotanya mampu menolong diri sendiri pada bidang kesehatan serta kesehatan masyarakat. </w:t>
      </w:r>
      <w:r w:rsidRPr="00765330">
        <w:rPr>
          <w:rFonts w:ascii="Segoe UI" w:eastAsia="Quattrocento Sans" w:hAnsi="Segoe UI" w:cs="Segoe UI"/>
          <w:lang w:val="en-US"/>
        </w:rPr>
        <w:t xml:space="preserve">Salah satu program yang dicanangkan pemerintah adalah program Perilaku Hidup Bersih dan Sehat. Perilaku Hidup Bersih dan Sehat (PHBS) adalah semua perilaku kesehatan yang dilakukan karena kesadaran pribadi sehingga keluarga dan seluruh anggotanya mampu menolong diri sendiri pada bidang kesehatan salah satunya yaitu menjaga kesehatan gigi dan mulut (Kemenkes, 2016). </w:t>
      </w:r>
    </w:p>
    <w:p w14:paraId="2BE25A27" w14:textId="77777777" w:rsidR="00610151" w:rsidRPr="00765330" w:rsidRDefault="00000000" w:rsidP="0085649C">
      <w:pPr>
        <w:spacing w:after="0" w:line="240" w:lineRule="auto"/>
        <w:ind w:firstLine="720"/>
        <w:jc w:val="both"/>
        <w:rPr>
          <w:rFonts w:ascii="Segoe UI" w:eastAsia="Quattrocento Sans" w:hAnsi="Segoe UI" w:cs="Segoe UI"/>
          <w:lang w:val="en-US"/>
        </w:rPr>
      </w:pPr>
      <w:r w:rsidRPr="00765330">
        <w:rPr>
          <w:rFonts w:ascii="Segoe UI" w:eastAsia="Quattrocento Sans" w:hAnsi="Segoe UI" w:cs="Segoe UI"/>
          <w:lang w:val="en-US"/>
        </w:rPr>
        <w:t>Kesehatan gigi dan mulut merupakan hal yang penting pada kesehatan umum dalam perilaku hidup bersih dan sehat, dikarenakan mulut merupakan pintu masuk pertama dalam sistem pencernaan (Sitanaya, 2019). Selain itu, gigi merupakan salah satu organ pencernaan yang berperan penting dalam proses mengunyah makanan, sehingga menjaga kesehatan mulut sangatlah penting. Upaya menjaga kesehatan gigi dan mulut harus dilakukan sejak dini agar terhindar dari kerusakan gigi (Kemenkes, 2012).</w:t>
      </w:r>
    </w:p>
    <w:p w14:paraId="25A9606A" w14:textId="77777777" w:rsidR="00610151" w:rsidRPr="00765330" w:rsidRDefault="00000000" w:rsidP="0085649C">
      <w:pPr>
        <w:spacing w:after="0" w:line="240" w:lineRule="auto"/>
        <w:ind w:firstLine="720"/>
        <w:jc w:val="both"/>
        <w:rPr>
          <w:rFonts w:ascii="Segoe UI" w:eastAsia="Quattrocento Sans" w:hAnsi="Segoe UI" w:cs="Segoe UI"/>
        </w:rPr>
      </w:pPr>
      <w:r w:rsidRPr="00765330">
        <w:rPr>
          <w:rFonts w:ascii="Segoe UI" w:eastAsia="Quattrocento Sans" w:hAnsi="Segoe UI" w:cs="Segoe UI"/>
        </w:rPr>
        <w:t>Kerusakan gigi menjadi masalah kesehatan bagi anak-anak. Menurut Organisasi Kesehatan Dunia (WHO) pada tahun 2016, tingkat kerusakan gigi pada anak-anak masih 60-90%. Menurut Riset Kesehatan Dasar tahun 2018, masalah kesehatan gigi dalam 12 bulan terakhir di wilayah Aceh adalah 55% sementara yang mendapatkan pelayanan medis hanya 15%. Sementara persentase penduduk &gt; 3 tahun yang menggosok gigi adalah 95%, namun persentase penduduk &gt; 3 tahun yang menggosok gigi adalah 2,8%. Hal ini menjadi bukti bahwa kesadaran masyarakat tentang menjaga kesehatan gigi dan mulut masih kurang (Kemenkes RI, 2018).</w:t>
      </w:r>
    </w:p>
    <w:p w14:paraId="6DE4789B" w14:textId="77777777" w:rsidR="00610151" w:rsidRPr="00765330" w:rsidRDefault="00000000" w:rsidP="0085649C">
      <w:pPr>
        <w:spacing w:after="0" w:line="240" w:lineRule="auto"/>
        <w:ind w:firstLine="720"/>
        <w:jc w:val="both"/>
        <w:rPr>
          <w:rFonts w:ascii="Segoe UI" w:eastAsia="Quattrocento Sans" w:hAnsi="Segoe UI" w:cs="Segoe UI"/>
        </w:rPr>
      </w:pPr>
      <w:r w:rsidRPr="00765330">
        <w:rPr>
          <w:rFonts w:ascii="Segoe UI" w:eastAsia="Quattrocento Sans" w:hAnsi="Segoe UI" w:cs="Segoe UI"/>
        </w:rPr>
        <w:t xml:space="preserve">Kerusakan gigi yang dialami anak-anak, terjadi karena rendahnya kepedulian orang tua terhadap tumbuh kembang anak termasuk rongga mulutnya. Kesehatan oral yang tidak diperhatikan akan berdampak pada perkembangan kemampuan anak secara keseluruhan, baik fisik maupun kecerdasannya. Anak dengan gigi bermasalah akan kesulitan mengunyah makanan, akibatnya akan cenderung memilih jenis makanan yang kurang bergizi sehingga secara tidak langsung mempengaruhi kecerdasan anak (Djamil, 2011). Hal ini sesuai dengan pandangan Davies bahwa perilaku anak sangat dipengaruhi oleh perilaku ibu (Reca, 2018). Begitupun kebiasaan dan perilaku anak dalam melakukan perilaku hidup bersih dan sehat (PHBS), sehingga salah satu langkah untuk merubah perilaku anak untuk lebih memperhatikan perilaku hidup bersih dan sehat yaitu dengan melakukan pendidikan atau promosi kesehatan. </w:t>
      </w:r>
    </w:p>
    <w:p w14:paraId="70F3B1B1" w14:textId="77777777" w:rsidR="00610151" w:rsidRDefault="00000000" w:rsidP="0085649C">
      <w:pPr>
        <w:spacing w:after="0" w:line="240" w:lineRule="auto"/>
        <w:ind w:firstLine="720"/>
        <w:jc w:val="both"/>
        <w:rPr>
          <w:rFonts w:ascii="Segoe UI" w:eastAsia="Quattrocento Sans" w:hAnsi="Segoe UI" w:cs="Segoe UI"/>
        </w:rPr>
      </w:pPr>
      <w:r w:rsidRPr="00765330">
        <w:rPr>
          <w:rFonts w:ascii="Segoe UI" w:eastAsia="Quattrocento Sans" w:hAnsi="Segoe UI" w:cs="Segoe UI"/>
        </w:rPr>
        <w:t xml:space="preserve">Promosi kesehatan merupakan salah satu cara yang efektif karena anak usia sekolah merupakan sasaran yang mudah dijangkau sebab terorganisasi dengan baik serta merupakan kelompok umur yang peka dan mudah menerima perubahan. Melakukan pendidikan kesehatan, pemutaran audiovisual, bermain tebak gambar, membuat miniatur gigi, dan demonstrasi merupakan pengetahuan yang merupakan domain yang sangat penting untuk mempengaruhi perilaku seseorang, sehingga semakin tinggi atau semakin banyak pengetahuan yang didapat seseorang maka semakin baik perilaku yang ditunjukkan oleh orang tersebut, maka sikap yang ditunjukkan adalah sikap yang positif. Begitu juga dengan </w:t>
      </w:r>
      <w:r w:rsidRPr="00765330">
        <w:rPr>
          <w:rFonts w:ascii="Segoe UI" w:eastAsia="Quattrocento Sans" w:hAnsi="Segoe UI" w:cs="Segoe UI"/>
        </w:rPr>
        <w:lastRenderedPageBreak/>
        <w:t>pengetahuan seorang anak semakin baik pengetahuannya maka semakin baik pula perilaku yang dimilikinya khususnya yang berkaitan dengan kesehatan gigi dan mulut serta perilaku hidup bersih dan sehat (PHBS) (Notoatmodjo, 2010).</w:t>
      </w:r>
    </w:p>
    <w:p w14:paraId="7E12B0E2" w14:textId="77777777" w:rsidR="0085649C" w:rsidRPr="00765330" w:rsidRDefault="0085649C" w:rsidP="0085649C">
      <w:pPr>
        <w:spacing w:after="0" w:line="240" w:lineRule="auto"/>
        <w:ind w:firstLine="720"/>
        <w:jc w:val="both"/>
        <w:rPr>
          <w:rFonts w:ascii="Segoe UI" w:eastAsia="Quattrocento Sans" w:hAnsi="Segoe UI" w:cs="Segoe UI"/>
        </w:rPr>
      </w:pPr>
    </w:p>
    <w:p w14:paraId="4FF4B5FB" w14:textId="14889D33" w:rsidR="00610151" w:rsidRDefault="00765330" w:rsidP="0085649C">
      <w:pPr>
        <w:pStyle w:val="ListParagraph"/>
        <w:numPr>
          <w:ilvl w:val="0"/>
          <w:numId w:val="5"/>
        </w:numPr>
        <w:tabs>
          <w:tab w:val="left" w:pos="284"/>
        </w:tabs>
        <w:spacing w:after="0" w:line="240" w:lineRule="auto"/>
        <w:ind w:left="142" w:hanging="142"/>
        <w:jc w:val="both"/>
        <w:rPr>
          <w:rFonts w:ascii="Segoe UI" w:eastAsia="Quattrocento Sans" w:hAnsi="Segoe UI" w:cs="Segoe UI"/>
          <w:b/>
        </w:rPr>
      </w:pPr>
      <w:r w:rsidRPr="00765330">
        <w:rPr>
          <w:rFonts w:ascii="Segoe UI" w:eastAsia="Quattrocento Sans" w:hAnsi="Segoe UI" w:cs="Segoe UI"/>
          <w:b/>
        </w:rPr>
        <w:t xml:space="preserve">TUJUAN </w:t>
      </w:r>
      <w:r>
        <w:rPr>
          <w:rFonts w:ascii="Segoe UI" w:eastAsia="Quattrocento Sans" w:hAnsi="Segoe UI" w:cs="Segoe UI"/>
          <w:b/>
        </w:rPr>
        <w:t xml:space="preserve"> PENELITIAN</w:t>
      </w:r>
    </w:p>
    <w:p w14:paraId="07EBE0E1" w14:textId="77777777" w:rsidR="0085649C" w:rsidRPr="00765330" w:rsidRDefault="0085649C" w:rsidP="0085649C">
      <w:pPr>
        <w:pStyle w:val="ListParagraph"/>
        <w:tabs>
          <w:tab w:val="left" w:pos="284"/>
        </w:tabs>
        <w:spacing w:after="0" w:line="240" w:lineRule="auto"/>
        <w:ind w:left="142"/>
        <w:jc w:val="both"/>
        <w:rPr>
          <w:rFonts w:ascii="Segoe UI" w:eastAsia="Quattrocento Sans" w:hAnsi="Segoe UI" w:cs="Segoe UI"/>
          <w:b/>
        </w:rPr>
      </w:pPr>
    </w:p>
    <w:p w14:paraId="79F64090" w14:textId="77777777" w:rsidR="00610151" w:rsidRDefault="00000000" w:rsidP="0085649C">
      <w:pPr>
        <w:spacing w:after="0" w:line="240" w:lineRule="auto"/>
        <w:jc w:val="both"/>
        <w:rPr>
          <w:rFonts w:ascii="Segoe UI" w:eastAsia="Quattrocento Sans" w:hAnsi="Segoe UI" w:cs="Segoe UI"/>
        </w:rPr>
      </w:pPr>
      <w:r w:rsidRPr="00765330">
        <w:rPr>
          <w:rFonts w:ascii="Segoe UI" w:eastAsia="Quattrocento Sans" w:hAnsi="Segoe UI" w:cs="Segoe UI"/>
        </w:rPr>
        <w:t>Karya ilmiah ini bertujuan untuk memaparkan hasil praktik berupa asuhan keperawatan pada keluarga dengan tahap perkembangan anak usia sekolah.</w:t>
      </w:r>
    </w:p>
    <w:p w14:paraId="5E214F3A" w14:textId="77777777" w:rsidR="0085649C" w:rsidRPr="00765330" w:rsidRDefault="0085649C" w:rsidP="0085649C">
      <w:pPr>
        <w:spacing w:after="0" w:line="240" w:lineRule="auto"/>
        <w:jc w:val="both"/>
        <w:rPr>
          <w:rFonts w:ascii="Segoe UI" w:eastAsia="Quattrocento Sans" w:hAnsi="Segoe UI" w:cs="Segoe UI"/>
          <w:b/>
        </w:rPr>
      </w:pPr>
    </w:p>
    <w:p w14:paraId="7717C11B" w14:textId="500ECFE8" w:rsidR="00610151" w:rsidRDefault="00765330" w:rsidP="0085649C">
      <w:pPr>
        <w:pStyle w:val="ListParagraph"/>
        <w:numPr>
          <w:ilvl w:val="0"/>
          <w:numId w:val="5"/>
        </w:numPr>
        <w:spacing w:after="0" w:line="240" w:lineRule="auto"/>
        <w:ind w:left="284" w:hanging="284"/>
        <w:jc w:val="both"/>
        <w:rPr>
          <w:rFonts w:ascii="Segoe UI" w:eastAsia="Quattrocento Sans" w:hAnsi="Segoe UI" w:cs="Segoe UI"/>
          <w:b/>
        </w:rPr>
      </w:pPr>
      <w:r w:rsidRPr="00765330">
        <w:rPr>
          <w:rFonts w:ascii="Segoe UI" w:eastAsia="Quattrocento Sans" w:hAnsi="Segoe UI" w:cs="Segoe UI"/>
          <w:b/>
        </w:rPr>
        <w:t xml:space="preserve">METODOLOGI </w:t>
      </w:r>
    </w:p>
    <w:p w14:paraId="14522CD2" w14:textId="77777777" w:rsidR="0085649C" w:rsidRPr="00765330" w:rsidRDefault="0085649C" w:rsidP="0085649C">
      <w:pPr>
        <w:pStyle w:val="ListParagraph"/>
        <w:spacing w:after="0" w:line="240" w:lineRule="auto"/>
        <w:ind w:left="284"/>
        <w:jc w:val="both"/>
        <w:rPr>
          <w:rFonts w:ascii="Segoe UI" w:eastAsia="Quattrocento Sans" w:hAnsi="Segoe UI" w:cs="Segoe UI"/>
          <w:b/>
        </w:rPr>
      </w:pPr>
    </w:p>
    <w:p w14:paraId="65581F1E" w14:textId="77777777" w:rsidR="00610151" w:rsidRDefault="00000000" w:rsidP="0085649C">
      <w:pPr>
        <w:spacing w:after="0" w:line="240" w:lineRule="auto"/>
        <w:jc w:val="both"/>
        <w:rPr>
          <w:rFonts w:ascii="Segoe UI" w:eastAsia="Quattrocento Sans" w:hAnsi="Segoe UI" w:cs="Segoe UI"/>
        </w:rPr>
      </w:pPr>
      <w:r w:rsidRPr="00765330">
        <w:rPr>
          <w:rFonts w:ascii="Segoe UI" w:eastAsia="Quattrocento Sans" w:hAnsi="Segoe UI" w:cs="Segoe UI"/>
        </w:rPr>
        <w:t>Karya tulis ilmiah ini menggunakan desain studi kasus yaitu studi untuk mengeksplorasii bagaimana asuhan keperawatan keluarga dengan tahap perkembangan keluarga anak usia sekolah dengan masalah kerusakan gigi melalui penerapan pendidikan kesehatan lewat terapi bermain tebak gambar, pembuatan miniatur gigi dan mulut dan demonstrasi di Desa Tongkaina Kecamatan Bunaken. Proses pengumpulan data menggunakan lembar asuhan keperawatan yang berisi tentang pengkajian, diagnosa, intervensi, implementasi dan evaluasi keperawatan dengan waktu pelaksaan 09 agustus 2024 - 10 agustus 2024.</w:t>
      </w:r>
    </w:p>
    <w:p w14:paraId="0C659879" w14:textId="77777777" w:rsidR="00765330" w:rsidRPr="00765330" w:rsidRDefault="00765330" w:rsidP="0085649C">
      <w:pPr>
        <w:spacing w:after="0" w:line="240" w:lineRule="auto"/>
        <w:jc w:val="both"/>
        <w:rPr>
          <w:rFonts w:ascii="Segoe UI" w:eastAsia="Quattrocento Sans" w:hAnsi="Segoe UI" w:cs="Segoe UI"/>
        </w:rPr>
      </w:pPr>
    </w:p>
    <w:p w14:paraId="00AEBAE9" w14:textId="5DD7CD84" w:rsidR="00610151" w:rsidRPr="0085649C" w:rsidRDefault="00765330" w:rsidP="0085649C">
      <w:pPr>
        <w:pStyle w:val="ListParagraph"/>
        <w:numPr>
          <w:ilvl w:val="0"/>
          <w:numId w:val="5"/>
        </w:numPr>
        <w:spacing w:after="0" w:line="240" w:lineRule="auto"/>
        <w:ind w:left="284" w:hanging="284"/>
        <w:jc w:val="both"/>
        <w:rPr>
          <w:rFonts w:ascii="Segoe UI" w:eastAsia="Quattrocento Sans" w:hAnsi="Segoe UI" w:cs="Segoe UI"/>
          <w:b/>
        </w:rPr>
      </w:pPr>
      <w:r w:rsidRPr="0085649C">
        <w:rPr>
          <w:rFonts w:ascii="Segoe UI" w:eastAsia="Quattrocento Sans" w:hAnsi="Segoe UI" w:cs="Segoe UI"/>
          <w:b/>
        </w:rPr>
        <w:t xml:space="preserve">HASIL </w:t>
      </w:r>
    </w:p>
    <w:p w14:paraId="7CDA4D63" w14:textId="77777777" w:rsidR="0085649C" w:rsidRPr="0085649C" w:rsidRDefault="0085649C" w:rsidP="0085649C">
      <w:pPr>
        <w:pStyle w:val="ListParagraph"/>
        <w:spacing w:after="0" w:line="240" w:lineRule="auto"/>
        <w:jc w:val="both"/>
        <w:rPr>
          <w:rFonts w:ascii="Segoe UI" w:eastAsia="Quattrocento Sans" w:hAnsi="Segoe UI" w:cs="Segoe UI"/>
          <w:b/>
        </w:rPr>
      </w:pPr>
    </w:p>
    <w:p w14:paraId="5D566FC9" w14:textId="014EEB24" w:rsidR="00610151" w:rsidRPr="00B37AA1" w:rsidRDefault="00000000" w:rsidP="0085649C">
      <w:pPr>
        <w:pStyle w:val="ListParagraph"/>
        <w:numPr>
          <w:ilvl w:val="0"/>
          <w:numId w:val="6"/>
        </w:numPr>
        <w:pBdr>
          <w:top w:val="nil"/>
          <w:left w:val="nil"/>
          <w:bottom w:val="nil"/>
          <w:right w:val="nil"/>
          <w:between w:val="nil"/>
        </w:pBdr>
        <w:spacing w:after="0" w:line="240" w:lineRule="auto"/>
        <w:ind w:left="284" w:hanging="284"/>
        <w:jc w:val="both"/>
        <w:rPr>
          <w:rFonts w:ascii="Segoe UI" w:eastAsia="Quattrocento Sans" w:hAnsi="Segoe UI" w:cs="Segoe UI"/>
          <w:bCs/>
          <w:color w:val="000000"/>
        </w:rPr>
      </w:pPr>
      <w:r w:rsidRPr="00B37AA1">
        <w:rPr>
          <w:rFonts w:ascii="Segoe UI" w:eastAsia="Quattrocento Sans" w:hAnsi="Segoe UI" w:cs="Segoe UI"/>
          <w:bCs/>
          <w:color w:val="000000"/>
        </w:rPr>
        <w:t>Evaluasi Penerapan Intervensi Edukasi Kesehatan Menggunakan Audiovisual Dan Permainan Tebak Gambar Terhadap Pemahaman Kesehatan Gigi Dan Mulut</w:t>
      </w:r>
    </w:p>
    <w:p w14:paraId="580B4E1B"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rPr>
      </w:pPr>
      <w:r w:rsidRPr="00765330">
        <w:rPr>
          <w:rFonts w:ascii="Segoe UI" w:eastAsia="Quattrocento Sans" w:hAnsi="Segoe UI" w:cs="Segoe UI"/>
          <w:color w:val="000000"/>
        </w:rPr>
        <w:t xml:space="preserve">Implementasi yang telah dilakukan pada keluarga yang pertama terkait edukasi kesehatan menggunakan poster (lebih difokuskan pada orang tua) selanjutnya menonton video audiovisual bersama An.L lewat aplikasi </w:t>
      </w:r>
      <w:r w:rsidRPr="00765330">
        <w:rPr>
          <w:rFonts w:ascii="Segoe UI" w:eastAsia="Quattrocento Sans" w:hAnsi="Segoe UI" w:cs="Segoe UI"/>
          <w:i/>
          <w:color w:val="000000"/>
        </w:rPr>
        <w:t>youtube</w:t>
      </w:r>
      <w:r w:rsidRPr="00765330">
        <w:rPr>
          <w:rFonts w:ascii="Segoe UI" w:eastAsia="Quattrocento Sans" w:hAnsi="Segoe UI" w:cs="Segoe UI"/>
          <w:color w:val="000000"/>
        </w:rPr>
        <w:t xml:space="preserve"> dengan menggunakan handphone, setelah itu bermain tebak gambar. Edukasi pertama ini dilakukan pada hari Jumat, 09 Agustus 2024 di tempat rumah orang tua keluarga Tn.C, dengan waktu kurang lebih 30 menit. Media yang diberikan poster, handphone, dan gambar-gambar berwarna. </w:t>
      </w:r>
    </w:p>
    <w:p w14:paraId="44C044B7"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rPr>
      </w:pPr>
      <w:r w:rsidRPr="00765330">
        <w:rPr>
          <w:rFonts w:ascii="Segoe UI" w:eastAsia="Quattrocento Sans" w:hAnsi="Segoe UI" w:cs="Segoe UI"/>
        </w:rPr>
        <w:t xml:space="preserve">Setelah menonton video edukasi lewat audiovisual selanjutnya peneliti menjelaskan permainan tebak gambar pada anak. Metodenya anak akan menebak pertanyaan-pertanyaan melalui sebuah gambar, misalkan peneliti memegang dua buah gambar berisi cokelat pada gambar 1, dan buah pada gambar 2, maka selanjutnya anak diminta untuk menebak makanan mana yang dapat menyebabkan gigi berlubang. Dalam penelitian ini peneliti juga melakukan (Pre-Posttest), yakni ada 11 pertanyaan dan 11 media tebak gambar yang akan ditebak oleh anak. pada saat pre-test tebak gambar An.L dapat menjawab semua pertanyaan dengan benar, setelah bermain diberikan penjelasan dan evaluasi 11 pertanyaan tebak gambar tersebut dalam bentuk ceramah agar anak dapat lebih mengerti dan memahami edukasi kesehatan yang diberikan. </w:t>
      </w:r>
    </w:p>
    <w:p w14:paraId="1F18F155"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rPr>
      </w:pPr>
      <w:r w:rsidRPr="00765330">
        <w:rPr>
          <w:rFonts w:ascii="Segoe UI" w:eastAsia="Quattrocento Sans" w:hAnsi="Segoe UI" w:cs="Segoe UI"/>
          <w:color w:val="000000"/>
        </w:rPr>
        <w:t xml:space="preserve">Hasil evaluasi An.L menonton audiovisual singkat tentang kebersihan gigi dan mulut sampai selesai, selanjutnya mengajak An.L bermain tebak gambar, dari hasil evaluasi An.L sangat antusias dan senang mengikuti permainan tebak gambar, dan saat dilakukan </w:t>
      </w:r>
      <w:r w:rsidRPr="00765330">
        <w:rPr>
          <w:rFonts w:ascii="Segoe UI" w:eastAsia="Quattrocento Sans" w:hAnsi="Segoe UI" w:cs="Segoe UI"/>
          <w:i/>
          <w:color w:val="000000"/>
        </w:rPr>
        <w:t>Pre-Posttest</w:t>
      </w:r>
      <w:r w:rsidRPr="00765330">
        <w:rPr>
          <w:rFonts w:ascii="Segoe UI" w:eastAsia="Quattrocento Sans" w:hAnsi="Segoe UI" w:cs="Segoe UI"/>
          <w:color w:val="000000"/>
        </w:rPr>
        <w:t xml:space="preserve"> semua pertanyaan yang ditebak An.L saat </w:t>
      </w:r>
      <w:r w:rsidRPr="00765330">
        <w:rPr>
          <w:rFonts w:ascii="Segoe UI" w:eastAsia="Quattrocento Sans" w:hAnsi="Segoe UI" w:cs="Segoe UI"/>
          <w:i/>
          <w:color w:val="000000"/>
        </w:rPr>
        <w:t>pre-test</w:t>
      </w:r>
      <w:r w:rsidRPr="00765330">
        <w:rPr>
          <w:rFonts w:ascii="Segoe UI" w:eastAsia="Quattrocento Sans" w:hAnsi="Segoe UI" w:cs="Segoe UI"/>
          <w:color w:val="000000"/>
        </w:rPr>
        <w:t xml:space="preserve"> dapat dijawab semua dengan benar. Saat diberikan evaluasi An.L mengatakan paham tentang edukasi yang dilakukan lewat bermain tebak gambar. Saat ditanya bagaimana perasaan An.L saat menonton audiovisual dan bermain tebak gambar An.L mengatakan senang dan asik apalagi saat bermain tebak gambar An mengatakan gambar-gambar yang diberikan sangat lucu, dan sepanjang permainan tebak </w:t>
      </w:r>
      <w:r w:rsidRPr="00765330">
        <w:rPr>
          <w:rFonts w:ascii="Segoe UI" w:eastAsia="Quattrocento Sans" w:hAnsi="Segoe UI" w:cs="Segoe UI"/>
          <w:color w:val="000000"/>
        </w:rPr>
        <w:lastRenderedPageBreak/>
        <w:t xml:space="preserve">gambar An.L begitu antusias mengikuti permainan sampai selesai. Selanjutnya dari hasil observasi Ny.D nampak antusias dan ikut berpartisipasi memberi dukungan pada An.L untuk menjawab pertanyaan dalam bermain tebak gambar. </w:t>
      </w:r>
    </w:p>
    <w:p w14:paraId="1AEEFCFC"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rPr>
      </w:pPr>
      <w:r w:rsidRPr="00765330">
        <w:rPr>
          <w:rFonts w:ascii="Segoe UI" w:eastAsia="Quattrocento Sans" w:hAnsi="Segoe UI" w:cs="Segoe UI"/>
          <w:color w:val="000000"/>
        </w:rPr>
        <w:t>Edukasi kesehatan menggunakan poster sudah lebih dahulu dilakukan sebelum edukasi yang difokuskan pada anak yakni audiovisual dan bermain tebak gambar. Dari hasil evaluasi pada saat pemberian edukasi kesehatan melalui media poster</w:t>
      </w:r>
      <w:r w:rsidRPr="00765330">
        <w:rPr>
          <w:rFonts w:ascii="Segoe UI" w:eastAsia="Quattrocento Sans" w:hAnsi="Segoe UI" w:cs="Segoe UI"/>
          <w:b/>
          <w:color w:val="000000"/>
        </w:rPr>
        <w:t xml:space="preserve"> </w:t>
      </w:r>
      <w:r w:rsidRPr="00765330">
        <w:rPr>
          <w:rFonts w:ascii="Segoe UI" w:eastAsia="Quattrocento Sans" w:hAnsi="Segoe UI" w:cs="Segoe UI"/>
          <w:color w:val="000000"/>
        </w:rPr>
        <w:t xml:space="preserve">Ny.D nampak memperhatikan saat diberi edukasi terkait kesehatan gigi dan mulut melalui media poster. Ny.D mengatakan pahan dengan edukasi yang disampaikan dan mengatakan akan mengurangi jajan yang manis pada An.L dan akan selalu mengingatkan An.L untuk sikat gigi 2x sehari dan mengisi lembar monitoring yang diberikan dan menempel media serta lembar monitoring yang diberikan di kamar An.L agar An.L tidak lupa menyikat gigi dan mengisi lembar monitoring yang diberikan. Edukasi Kesehatan melalui media audiovisual dan bermain tebak gambar ini berhasil karena edukasi sambil bermain terjadi interaksi lebih banyak dengan anak selama kegiatan berlangsung sehingga hal inilah yang memicu daya ingat anak tentang pemahaman kesehatan gigi dan mulut. </w:t>
      </w:r>
    </w:p>
    <w:p w14:paraId="5D6BFE60" w14:textId="5748BB47" w:rsidR="00610151" w:rsidRPr="00B37AA1" w:rsidRDefault="00000000" w:rsidP="0085649C">
      <w:pPr>
        <w:pStyle w:val="ListParagraph"/>
        <w:numPr>
          <w:ilvl w:val="0"/>
          <w:numId w:val="6"/>
        </w:numPr>
        <w:pBdr>
          <w:top w:val="nil"/>
          <w:left w:val="nil"/>
          <w:bottom w:val="nil"/>
          <w:right w:val="nil"/>
          <w:between w:val="nil"/>
        </w:pBdr>
        <w:spacing w:after="0" w:line="240" w:lineRule="auto"/>
        <w:ind w:left="284" w:hanging="284"/>
        <w:jc w:val="both"/>
        <w:rPr>
          <w:rFonts w:ascii="Segoe UI" w:eastAsia="Quattrocento Sans" w:hAnsi="Segoe UI" w:cs="Segoe UI"/>
          <w:bCs/>
          <w:color w:val="000000"/>
        </w:rPr>
      </w:pPr>
      <w:r w:rsidRPr="00B37AA1">
        <w:rPr>
          <w:rFonts w:ascii="Segoe UI" w:eastAsia="Quattrocento Sans" w:hAnsi="Segoe UI" w:cs="Segoe UI"/>
          <w:bCs/>
          <w:color w:val="000000"/>
        </w:rPr>
        <w:t xml:space="preserve">Evaluasi Penerapan Intervensi Demonstrasi Sikat Gigi Menggunakan Miniatur Sikat Gigi Dan Demonstrasi Langsung </w:t>
      </w:r>
    </w:p>
    <w:p w14:paraId="130A96DF"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lang w:val="en-US"/>
        </w:rPr>
      </w:pPr>
      <w:r w:rsidRPr="00765330">
        <w:rPr>
          <w:rFonts w:ascii="Segoe UI" w:eastAsia="Quattrocento Sans" w:hAnsi="Segoe UI" w:cs="Segoe UI"/>
        </w:rPr>
        <w:t>Implementasi telah dilakukan pada keluarga yang selanjutnya terkait demonstrasi menggunakan miniatur sikat gigi dan demonstrasi secara langsung. Demonstrasi ini dilakukan dihari yang berbeda. Di hari pertama dilakukan pembuatan miniatur sikat gigi dan demonstrasi sikat gigi lewat miniatur yang sudah dibuat, demonstrasi yang pertama dilakukan di hari Jumat, 09 Agustus 2024 di</w:t>
      </w:r>
      <w:r w:rsidRPr="00765330">
        <w:rPr>
          <w:rFonts w:ascii="Segoe UI" w:eastAsia="Quattrocento Sans" w:hAnsi="Segoe UI" w:cs="Segoe UI"/>
          <w:color w:val="000000"/>
        </w:rPr>
        <w:t xml:space="preserve"> tempat rumah orang tua keluarga Tn.C, untuk metode yaitu membuat miniatur gigi dan mulut setelah itu melakukan demonstrasi sikat gigi lewat miniatur yang sudah dibuat. </w:t>
      </w:r>
      <w:r w:rsidRPr="00765330">
        <w:rPr>
          <w:rFonts w:ascii="Segoe UI" w:eastAsia="Quattrocento Sans" w:hAnsi="Segoe UI" w:cs="Segoe UI"/>
          <w:color w:val="000000"/>
          <w:lang w:val="en-US"/>
        </w:rPr>
        <w:t xml:space="preserve">Media yang digunakan sterofom, kertas berwarna, gunting, lem, sikat gigi dan poster. </w:t>
      </w:r>
    </w:p>
    <w:p w14:paraId="184AB55E"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lang w:val="en-US"/>
        </w:rPr>
      </w:pPr>
      <w:r w:rsidRPr="00765330">
        <w:rPr>
          <w:rFonts w:ascii="Segoe UI" w:eastAsia="Quattrocento Sans" w:hAnsi="Segoe UI" w:cs="Segoe UI"/>
          <w:lang w:val="en-US"/>
        </w:rPr>
        <w:t xml:space="preserve">Setelah membuat miniatur gigi selanjutnya dilakukan demonstrasi menggunakan miniatur yang sudah dibuat, peneliti mempraktekkan langkah-langkah cara menyikat gigi yang baik dan benar menggunakan miniatur dan melihat langkah-langkahnya menggunakan media poster. </w:t>
      </w:r>
      <w:r w:rsidRPr="00765330">
        <w:rPr>
          <w:rFonts w:ascii="Segoe UI" w:eastAsia="Quattrocento Sans" w:hAnsi="Segoe UI" w:cs="Segoe UI"/>
        </w:rPr>
        <w:t xml:space="preserve">Sementara itu anak diminta untuk memperhatikan dan melihat langkah-langkahnya. Setelah peneliti menuntun anak untuk belajar langkah-langkah menyikat gigi, selanjutnya peneliti menyuruh anak untuk memegang miniaturnya dan melakukan langkah-langkah yang sudah dipraktekkan peneliti sebelumnya. </w:t>
      </w:r>
      <w:r w:rsidRPr="00765330">
        <w:rPr>
          <w:rFonts w:ascii="Segoe UI" w:eastAsia="Quattrocento Sans" w:hAnsi="Segoe UI" w:cs="Segoe UI"/>
          <w:lang w:val="en-US"/>
        </w:rPr>
        <w:t>Setelah Intervensi demonstrasi gigi lewat miniatur yang sudah dibuat, dilakukan demonstrasi secara langsung. Demonstrasi secara langsung yang dilakukan adalah langkah-langkah cara menyikat gigi yang baik dan benar.</w:t>
      </w:r>
    </w:p>
    <w:p w14:paraId="051C8E26"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lang w:val="en-US"/>
        </w:rPr>
      </w:pPr>
      <w:r w:rsidRPr="00765330">
        <w:rPr>
          <w:rFonts w:ascii="Segoe UI" w:eastAsia="Quattrocento Sans" w:hAnsi="Segoe UI" w:cs="Segoe UI"/>
          <w:color w:val="000000"/>
          <w:lang w:val="en-US"/>
        </w:rPr>
        <w:t xml:space="preserve">Hasil evaluasi saat ditanya apakah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ingin membuat miniatur gigi dan mulut setelah ditunjukkan gambar dan menjelaskan bahan-bahan yang akan digunakkan,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begitu antusias dan bersedia membuatnya bersama. Setelah dilakukan arahan cara pembuatannya, berdasarkan hasil observasi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dapat mengunting dan menempel dengan baik dan rapi. Setelah miniatur selesai dibuat selanjutnya penulis mengajarkan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langkah-langkah menyikat gigi dan poster sebagai acuan menggunakan miniatur yang ada, setelah itu diberikan miniatur pada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dan menyuruh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mempraktekkan lewat miniatur langkah-langkah menyikat gigi yang sudah diajarkan penulis sebelumnya, dari hasil evaluasi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mampu melakukan dan mempraktekannya dengan baik. </w:t>
      </w:r>
    </w:p>
    <w:p w14:paraId="338607B8"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lang w:val="en-US"/>
        </w:rPr>
      </w:pPr>
      <w:r w:rsidRPr="00765330">
        <w:rPr>
          <w:rFonts w:ascii="Segoe UI" w:eastAsia="Quattrocento Sans" w:hAnsi="Segoe UI" w:cs="Segoe UI"/>
          <w:lang w:val="en-US"/>
        </w:rPr>
        <w:t>Implementasi dihari kedua yakni melakukan demonstrasi secara langsung, demonstrasi yang kedua ini dilakukan di hari Sabtu, 10 Agustus 2024</w:t>
      </w:r>
      <w:r w:rsidRPr="00765330">
        <w:rPr>
          <w:rFonts w:ascii="Segoe UI" w:eastAsia="Quattrocento Sans" w:hAnsi="Segoe UI" w:cs="Segoe UI"/>
          <w:color w:val="000000"/>
          <w:lang w:val="en-US"/>
        </w:rPr>
        <w:t xml:space="preserve"> tempat rumah orang tua keluarga Tn.C, untuk metode yaitu demonstrasi secara langsung mengenai langkah-langkah sikat gigi yang baik dan benar.</w:t>
      </w:r>
      <w:r w:rsidRPr="00765330">
        <w:rPr>
          <w:rFonts w:ascii="Segoe UI" w:eastAsia="Quattrocento Sans" w:hAnsi="Segoe UI" w:cs="Segoe UI"/>
          <w:lang w:val="en-US"/>
        </w:rPr>
        <w:t xml:space="preserve"> </w:t>
      </w:r>
    </w:p>
    <w:p w14:paraId="37E2F55C" w14:textId="77777777" w:rsidR="00610151"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lang w:val="en-US"/>
        </w:rPr>
      </w:pPr>
      <w:r w:rsidRPr="00765330">
        <w:rPr>
          <w:rFonts w:ascii="Segoe UI" w:eastAsia="Quattrocento Sans" w:hAnsi="Segoe UI" w:cs="Segoe UI"/>
          <w:lang w:val="en-US"/>
        </w:rPr>
        <w:lastRenderedPageBreak/>
        <w:t>H</w:t>
      </w:r>
      <w:r w:rsidRPr="00765330">
        <w:rPr>
          <w:rFonts w:ascii="Segoe UI" w:eastAsia="Quattrocento Sans" w:hAnsi="Segoe UI" w:cs="Segoe UI"/>
          <w:color w:val="000000"/>
          <w:lang w:val="en-US"/>
        </w:rPr>
        <w:t xml:space="preserve">asil evaluasi setelah diberi arahan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mampu melakukan secara mandiri tanpa melihat langkah-langkah lewat poster yang sudah diberikan kemarin hari.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dapat menghafal langkah-langkah sikat gigi dengan baik karena pada saat demonstrasi menggunakan miniatur kemarin hari penulis sudah mengingatkan pada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kalau pada besok hari penulis akan kembali lagi dan melakukan sikat gigi secara langsung pada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dan penulis mengingatkan untuk menghafal dan mempelajari langkah-langkah sikat gigi menggunakan poster yang sudah diberikan pada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maka dari itu pada saat demonstrasi secara langsung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dapat melakukannya tanpa melihat media. Dan dari orang tua </w:t>
      </w:r>
      <w:proofErr w:type="gramStart"/>
      <w:r w:rsidRPr="00765330">
        <w:rPr>
          <w:rFonts w:ascii="Segoe UI" w:eastAsia="Quattrocento Sans" w:hAnsi="Segoe UI" w:cs="Segoe UI"/>
          <w:color w:val="000000"/>
          <w:lang w:val="en-US"/>
        </w:rPr>
        <w:t>Ny.D</w:t>
      </w:r>
      <w:proofErr w:type="gramEnd"/>
      <w:r w:rsidRPr="00765330">
        <w:rPr>
          <w:rFonts w:ascii="Segoe UI" w:eastAsia="Quattrocento Sans" w:hAnsi="Segoe UI" w:cs="Segoe UI"/>
          <w:color w:val="000000"/>
          <w:lang w:val="en-US"/>
        </w:rPr>
        <w:t xml:space="preserve"> mengatakan bahwa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dari kemarin hari mempelajari cara sikat gigi menggunakan miniatur dan sikat gigi yang diberi pada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maka dari itu dia sudah menghafal Langkah-langkahnya. Sehingga dalam edukasi demonstrasi ini berhasil dan menambah pengetahuan serta merubah perilaku </w:t>
      </w:r>
      <w:proofErr w:type="gramStart"/>
      <w:r w:rsidRPr="00765330">
        <w:rPr>
          <w:rFonts w:ascii="Segoe UI" w:eastAsia="Quattrocento Sans" w:hAnsi="Segoe UI" w:cs="Segoe UI"/>
          <w:color w:val="000000"/>
          <w:lang w:val="en-US"/>
        </w:rPr>
        <w:t>An.L</w:t>
      </w:r>
      <w:proofErr w:type="gramEnd"/>
      <w:r w:rsidRPr="00765330">
        <w:rPr>
          <w:rFonts w:ascii="Segoe UI" w:eastAsia="Quattrocento Sans" w:hAnsi="Segoe UI" w:cs="Segoe UI"/>
          <w:color w:val="000000"/>
          <w:lang w:val="en-US"/>
        </w:rPr>
        <w:t xml:space="preserve"> dalam hal menyikat gigi.</w:t>
      </w:r>
    </w:p>
    <w:p w14:paraId="5B3A1463" w14:textId="77777777" w:rsidR="0085649C" w:rsidRPr="00765330" w:rsidRDefault="0085649C"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lang w:val="en-US"/>
        </w:rPr>
      </w:pPr>
    </w:p>
    <w:p w14:paraId="18EBAA42" w14:textId="73274D3B" w:rsidR="00610151" w:rsidRPr="0085649C" w:rsidRDefault="00000000" w:rsidP="0085649C">
      <w:pPr>
        <w:pStyle w:val="ListParagraph"/>
        <w:numPr>
          <w:ilvl w:val="0"/>
          <w:numId w:val="5"/>
        </w:numPr>
        <w:spacing w:after="0" w:line="240" w:lineRule="auto"/>
        <w:ind w:left="284" w:hanging="284"/>
        <w:jc w:val="both"/>
        <w:rPr>
          <w:rFonts w:ascii="Segoe UI" w:eastAsia="Quattrocento Sans" w:hAnsi="Segoe UI" w:cs="Segoe UI"/>
          <w:b/>
        </w:rPr>
      </w:pPr>
      <w:r w:rsidRPr="0085649C">
        <w:rPr>
          <w:rFonts w:ascii="Segoe UI" w:eastAsia="Quattrocento Sans" w:hAnsi="Segoe UI" w:cs="Segoe UI"/>
          <w:b/>
        </w:rPr>
        <w:t>P</w:t>
      </w:r>
      <w:r w:rsidR="00B37AA1" w:rsidRPr="0085649C">
        <w:rPr>
          <w:rFonts w:ascii="Segoe UI" w:eastAsia="Quattrocento Sans" w:hAnsi="Segoe UI" w:cs="Segoe UI"/>
          <w:b/>
        </w:rPr>
        <w:t>EMBAHASAN</w:t>
      </w:r>
    </w:p>
    <w:p w14:paraId="0012FAAC" w14:textId="77777777" w:rsidR="0085649C" w:rsidRPr="0085649C" w:rsidRDefault="0085649C" w:rsidP="0085649C">
      <w:pPr>
        <w:pStyle w:val="ListParagraph"/>
        <w:spacing w:after="0" w:line="240" w:lineRule="auto"/>
        <w:jc w:val="both"/>
        <w:rPr>
          <w:rFonts w:ascii="Segoe UI" w:eastAsia="Quattrocento Sans" w:hAnsi="Segoe UI" w:cs="Segoe UI"/>
          <w:b/>
        </w:rPr>
      </w:pPr>
    </w:p>
    <w:p w14:paraId="23EF65AB" w14:textId="0B82107A" w:rsidR="00610151" w:rsidRPr="00B37AA1" w:rsidRDefault="00B37AA1" w:rsidP="0085649C">
      <w:pPr>
        <w:pBdr>
          <w:top w:val="nil"/>
          <w:left w:val="nil"/>
          <w:bottom w:val="nil"/>
          <w:right w:val="nil"/>
          <w:between w:val="nil"/>
        </w:pBdr>
        <w:spacing w:after="0" w:line="240" w:lineRule="auto"/>
        <w:rPr>
          <w:rFonts w:ascii="Segoe UI" w:eastAsia="Quattrocento Sans" w:hAnsi="Segoe UI" w:cs="Segoe UI"/>
          <w:bCs/>
          <w:color w:val="000000"/>
        </w:rPr>
      </w:pPr>
      <w:r w:rsidRPr="00B37AA1">
        <w:rPr>
          <w:rFonts w:ascii="Segoe UI" w:eastAsia="Quattrocento Sans" w:hAnsi="Segoe UI" w:cs="Segoe UI"/>
          <w:bCs/>
          <w:color w:val="000000"/>
        </w:rPr>
        <w:t xml:space="preserve">A. Analisis Masalah dan Diagnosa Keperawatan </w:t>
      </w:r>
    </w:p>
    <w:p w14:paraId="321C13BC" w14:textId="05069A24" w:rsidR="00610151" w:rsidRPr="00B37AA1" w:rsidRDefault="00000000" w:rsidP="0085649C">
      <w:pPr>
        <w:pStyle w:val="ListParagraph"/>
        <w:numPr>
          <w:ilvl w:val="3"/>
          <w:numId w:val="6"/>
        </w:numPr>
        <w:pBdr>
          <w:top w:val="nil"/>
          <w:left w:val="nil"/>
          <w:bottom w:val="nil"/>
          <w:right w:val="nil"/>
          <w:between w:val="nil"/>
        </w:pBdr>
        <w:spacing w:after="0" w:line="240" w:lineRule="auto"/>
        <w:ind w:left="284" w:hanging="284"/>
        <w:rPr>
          <w:rFonts w:ascii="Segoe UI" w:eastAsia="Quattrocento Sans" w:hAnsi="Segoe UI" w:cs="Segoe UI"/>
          <w:bCs/>
          <w:color w:val="000000"/>
        </w:rPr>
      </w:pPr>
      <w:bookmarkStart w:id="0" w:name="_gjdgxs" w:colFirst="0" w:colLast="0"/>
      <w:bookmarkEnd w:id="0"/>
      <w:r w:rsidRPr="00B37AA1">
        <w:rPr>
          <w:rFonts w:ascii="Segoe UI" w:eastAsia="Quattrocento Sans" w:hAnsi="Segoe UI" w:cs="Segoe UI"/>
          <w:bCs/>
          <w:color w:val="000000"/>
        </w:rPr>
        <w:t>Kerusakaan Gigi</w:t>
      </w:r>
    </w:p>
    <w:p w14:paraId="7A2DD920"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rPr>
      </w:pPr>
      <w:bookmarkStart w:id="1" w:name="_30j0zll" w:colFirst="0" w:colLast="0"/>
      <w:bookmarkEnd w:id="1"/>
      <w:r w:rsidRPr="00765330">
        <w:rPr>
          <w:rFonts w:ascii="Segoe UI" w:eastAsia="Quattrocento Sans" w:hAnsi="Segoe UI" w:cs="Segoe UI"/>
          <w:color w:val="000000"/>
        </w:rPr>
        <w:t xml:space="preserve">Kerusakan gigi yang biasanya terjadi pada masa kanak-kanak/anak-anak biasanya disebabkan oleh makanan/minuman yang manis (Emini et al., 2020). Hal ini sesuai dengan pendapat ahli epidemiologi yang berpendapat bahwa anak-anak cenderung menyukai makanan manis seperti coklat dan permen yang dapat menyebabkan kerusakan gigi (Sumini et al., 2014). Sulit bagi anak-anak untuk menghindari makanan tersebut karena banyak makanan yang mengandung gula. Mereka menyukai makanan manis dan kenyal, yang sering disantap setiap hari di rumah dan di sekolah. Secara umum, makanan ini disajikan sebagai cemilan di antara waktu makan dan didukung oleh kurangnya pemahaman anak dan orang tua tentang bagaimana kesehatan gigi dan mulut dapat mempengaruhi kesehatan gigi anak (Abadi &amp; Suparno, 2019). Kerusakan gigi pada anak jika dibiarkan atau tidak ditangani tepat waktu, dapat menyebabkan rasa sakit atau sensitif pada rongga, demam, gangguan proses mengunyah yang membuat anak kehilangan nafsu makan (Purnama, Ngatemi, &amp; Widiyastuti, 2020). Peneliti merumuskan masalah keperawatan dan pengangkatan diagnosa lewat buku Nanda, NIC, NOC Edisi Keenam. Menurut (Nanda, 2017) Kerusakan gigi merupakan gangguan perkembangan integritas struktural gigi. </w:t>
      </w:r>
    </w:p>
    <w:p w14:paraId="4BEFABEB"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rPr>
      </w:pPr>
      <w:bookmarkStart w:id="2" w:name="_1fob9te" w:colFirst="0" w:colLast="0"/>
      <w:bookmarkEnd w:id="2"/>
      <w:r w:rsidRPr="00765330">
        <w:rPr>
          <w:rFonts w:ascii="Segoe UI" w:eastAsia="Quattrocento Sans" w:hAnsi="Segoe UI" w:cs="Segoe UI"/>
          <w:color w:val="000000"/>
        </w:rPr>
        <w:t>Peneliti merumuskan masalah keperawatan kerusakan gigi karena dilihat dari hasil pengkajian pada keluarga kelolaan dari data yang didapatkan masalah pada An.L dari hasil observasi kondisi gigi An.L yang nampak sudah banyak yang bolong dan menghitam, selain itu An.L ternyata suka jajan, An L mangatakan jajanan yang biasa dibeli yaitu coklat, permen, eskrim/minumam dingin dan An.L hampir setiap hari jajan. Ny.D mengatakan An.L ada kalanya hanya menyikat gigi satu kali sehari dipagi hari.</w:t>
      </w:r>
    </w:p>
    <w:p w14:paraId="44A3239F"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rPr>
      </w:pPr>
      <w:r w:rsidRPr="00765330">
        <w:rPr>
          <w:rFonts w:ascii="Segoe UI" w:eastAsia="Quattrocento Sans" w:hAnsi="Segoe UI" w:cs="Segoe UI"/>
          <w:color w:val="000000"/>
        </w:rPr>
        <w:t>Dari analisis masalah dan diagnosa yang ditegakkan maka untuk intervensi yang akan diberikan pada kaluarga khususnya pada An.L yakni edukasi kesehatan mengenai kesehatan gigi dan mulut serta demonstrasi menyikat gigi yang baik dan banar.</w:t>
      </w:r>
    </w:p>
    <w:p w14:paraId="419A6F04" w14:textId="50AF75F9" w:rsidR="00610151" w:rsidRPr="00B37AA1" w:rsidRDefault="00000000" w:rsidP="0085649C">
      <w:pPr>
        <w:pStyle w:val="ListParagraph"/>
        <w:numPr>
          <w:ilvl w:val="3"/>
          <w:numId w:val="6"/>
        </w:numPr>
        <w:pBdr>
          <w:top w:val="nil"/>
          <w:left w:val="nil"/>
          <w:bottom w:val="nil"/>
          <w:right w:val="nil"/>
          <w:between w:val="nil"/>
        </w:pBdr>
        <w:spacing w:after="0" w:line="240" w:lineRule="auto"/>
        <w:ind w:left="284" w:hanging="284"/>
        <w:jc w:val="both"/>
        <w:rPr>
          <w:rFonts w:ascii="Segoe UI" w:eastAsia="Quattrocento Sans" w:hAnsi="Segoe UI" w:cs="Segoe UI"/>
          <w:bCs/>
          <w:color w:val="000000"/>
        </w:rPr>
      </w:pPr>
      <w:bookmarkStart w:id="3" w:name="_3znysh7" w:colFirst="0" w:colLast="0"/>
      <w:bookmarkEnd w:id="3"/>
      <w:r w:rsidRPr="00B37AA1">
        <w:rPr>
          <w:rFonts w:ascii="Segoe UI" w:eastAsia="Quattrocento Sans" w:hAnsi="Segoe UI" w:cs="Segoe UI"/>
          <w:bCs/>
          <w:color w:val="000000"/>
        </w:rPr>
        <w:t>Perilaku Kesehatan Cenderung Beresiko</w:t>
      </w:r>
    </w:p>
    <w:p w14:paraId="5CA1C7A4"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rPr>
      </w:pPr>
      <w:r w:rsidRPr="00765330">
        <w:rPr>
          <w:rFonts w:ascii="Segoe UI" w:eastAsia="Quattrocento Sans" w:hAnsi="Segoe UI" w:cs="Segoe UI"/>
          <w:color w:val="000000"/>
        </w:rPr>
        <w:t>Penerapan pola hidup bersih dan sehat adalah bentuk dari kesadaran sebagai wujud dari pembelajaran agar setiap individu maupun masyarakat bisa menolong diri</w:t>
      </w:r>
      <w:r w:rsidRPr="00765330">
        <w:rPr>
          <w:rFonts w:ascii="Segoe UI" w:eastAsia="Quattrocento Sans" w:hAnsi="Segoe UI" w:cs="Segoe UI"/>
          <w:b/>
          <w:color w:val="000000"/>
        </w:rPr>
        <w:t xml:space="preserve"> </w:t>
      </w:r>
      <w:r w:rsidRPr="00765330">
        <w:rPr>
          <w:rFonts w:ascii="Segoe UI" w:eastAsia="Quattrocento Sans" w:hAnsi="Segoe UI" w:cs="Segoe UI"/>
          <w:color w:val="000000"/>
        </w:rPr>
        <w:t xml:space="preserve">sendiri ataupun orang lain, baik pada masalah kesehatan maupun ikut serta dalam mewujudkan pengetahuan yang sehat dan bersih di lingkungan sekitar (Wati &amp; Ridlo, 2020). Upaya dalam meningkatkan. </w:t>
      </w:r>
      <w:r w:rsidRPr="00765330">
        <w:rPr>
          <w:rFonts w:ascii="Segoe UI" w:eastAsia="Quattrocento Sans" w:hAnsi="Segoe UI" w:cs="Segoe UI"/>
          <w:color w:val="000000"/>
        </w:rPr>
        <w:lastRenderedPageBreak/>
        <w:t>kesadaran tentang pentingnya kesehatan dimulai dengan cara sederhana yaitu mencuci tangan.</w:t>
      </w:r>
    </w:p>
    <w:p w14:paraId="4574BA97"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rPr>
      </w:pPr>
      <w:r w:rsidRPr="00765330">
        <w:rPr>
          <w:rFonts w:ascii="Segoe UI" w:eastAsia="Quattrocento Sans" w:hAnsi="Segoe UI" w:cs="Segoe UI"/>
          <w:color w:val="000000"/>
        </w:rPr>
        <w:t>Tangan yang kotor menjadi perantara masuknya bakteri. Mencuci tangan merupakan salah satu bagian terpenting dalam penerapan pola hidup bersih dan sehat (Somantri &amp; Sasmita, 2022). Cuci tangan merupakan proses membuang kotoran dan debu secara mekanis dari kulit kedua belah tangan dengan memakai sabun dan air (Natsir, 2018). Kebiasaan mencuci tangan di Indonesia belum menjadi budaya yang dilakukan oleh masyarakat luas. Dalam kehidupan sehari-hari, banyak yang mencuci tangan hanya dengan air sebelum makan, cuci tangan dengan sabun justru dilakukan sesudah makan (Kemenkes RI, 2014). Mencuci tangan dengan sabun merupakan upaya pencegahan sebagai perlindungan tubuh dari berbagai penyakit yang sifatnya menular (Tulak et al., 2020).</w:t>
      </w:r>
    </w:p>
    <w:p w14:paraId="2A270ECB"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rPr>
      </w:pPr>
      <w:r w:rsidRPr="00765330">
        <w:rPr>
          <w:rFonts w:ascii="Segoe UI" w:eastAsia="Quattrocento Sans" w:hAnsi="Segoe UI" w:cs="Segoe UI"/>
          <w:color w:val="000000"/>
        </w:rPr>
        <w:t xml:space="preserve">Perilaku kesehatan cenderung beresiko merupakan hambatan kemampuan untuk mengubah gaya hidup/perilaku dalam cara memperbaiki tingkat kesejahteraan (Nanda, 2017). Peneliti merumuskan masalah keperawatan perilaku kesehatan cenderung beresiko karena dilihat dari hasil pengkajian pada keluarga kelolaan dari data yang didapatkan masalah pada An.L, dari hasil observasi kondisi kuku An.L nampak sedikit panjang, hitam dan kotor, dan perilaku An.L yang tidak mencuci tangan sebelum makan merupakan salah satu resiko penularan penyakit untuk masuk kedalam tubuh anak melalui udara ataupun debu dan salah satu pencegahannya yaitu dengan mencuci tangan. </w:t>
      </w:r>
    </w:p>
    <w:p w14:paraId="376F56B7"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rPr>
      </w:pPr>
      <w:r w:rsidRPr="00765330">
        <w:rPr>
          <w:rFonts w:ascii="Segoe UI" w:eastAsia="Quattrocento Sans" w:hAnsi="Segoe UI" w:cs="Segoe UI"/>
          <w:color w:val="000000"/>
        </w:rPr>
        <w:t>Dari analisis masalah dan diagnosa yang ditegakkan maka untuk intervensi yang akan diberikan pada kaluarga yakni edukasi kesehatan mengenai perilaku hidup bersih dan sehat (PHBS) dengan mengajarkan langkah-langkah cuci tangan yang baik dan benar pada An.L.</w:t>
      </w:r>
    </w:p>
    <w:p w14:paraId="455E8392" w14:textId="0A92626F" w:rsidR="00610151" w:rsidRPr="00B37AA1" w:rsidRDefault="00B37AA1" w:rsidP="0085649C">
      <w:pPr>
        <w:pBdr>
          <w:top w:val="nil"/>
          <w:left w:val="nil"/>
          <w:bottom w:val="nil"/>
          <w:right w:val="nil"/>
          <w:between w:val="nil"/>
        </w:pBdr>
        <w:spacing w:after="0" w:line="240" w:lineRule="auto"/>
        <w:jc w:val="both"/>
        <w:rPr>
          <w:rFonts w:ascii="Segoe UI" w:eastAsia="Quattrocento Sans" w:hAnsi="Segoe UI" w:cs="Segoe UI"/>
          <w:bCs/>
          <w:color w:val="000000"/>
        </w:rPr>
      </w:pPr>
      <w:bookmarkStart w:id="4" w:name="_2et92p0" w:colFirst="0" w:colLast="0"/>
      <w:bookmarkEnd w:id="4"/>
      <w:r>
        <w:rPr>
          <w:rFonts w:ascii="Segoe UI" w:eastAsia="Quattrocento Sans" w:hAnsi="Segoe UI" w:cs="Segoe UI"/>
          <w:bCs/>
          <w:color w:val="000000"/>
        </w:rPr>
        <w:t xml:space="preserve">B. </w:t>
      </w:r>
      <w:r w:rsidRPr="00B37AA1">
        <w:rPr>
          <w:rFonts w:ascii="Segoe UI" w:eastAsia="Quattrocento Sans" w:hAnsi="Segoe UI" w:cs="Segoe UI"/>
          <w:bCs/>
          <w:color w:val="000000"/>
        </w:rPr>
        <w:t xml:space="preserve"> Analisis Penerapan Intervensi Keperawatan </w:t>
      </w:r>
    </w:p>
    <w:p w14:paraId="55EA50C1" w14:textId="2F8A4745" w:rsidR="00610151" w:rsidRPr="00B37AA1" w:rsidRDefault="00000000" w:rsidP="0085649C">
      <w:pPr>
        <w:pStyle w:val="ListParagraph"/>
        <w:numPr>
          <w:ilvl w:val="6"/>
          <w:numId w:val="6"/>
        </w:numPr>
        <w:pBdr>
          <w:top w:val="nil"/>
          <w:left w:val="nil"/>
          <w:bottom w:val="nil"/>
          <w:right w:val="nil"/>
          <w:between w:val="nil"/>
        </w:pBdr>
        <w:spacing w:after="0" w:line="240" w:lineRule="auto"/>
        <w:ind w:left="284" w:hanging="284"/>
        <w:jc w:val="both"/>
        <w:rPr>
          <w:rFonts w:ascii="Segoe UI" w:eastAsia="Quattrocento Sans" w:hAnsi="Segoe UI" w:cs="Segoe UI"/>
          <w:bCs/>
          <w:color w:val="000000"/>
        </w:rPr>
      </w:pPr>
      <w:r w:rsidRPr="00B37AA1">
        <w:rPr>
          <w:rFonts w:ascii="Segoe UI" w:eastAsia="Quattrocento Sans" w:hAnsi="Segoe UI" w:cs="Segoe UI"/>
          <w:bCs/>
          <w:color w:val="000000"/>
        </w:rPr>
        <w:t>Analisis Penerapan Intervensi Edukasi Kesehatan Menggunakan Audiovisual Dan Permainan Tebak Gambar Terhadap Pemahaman Kesehatan Gigi Dan Mulut</w:t>
      </w:r>
    </w:p>
    <w:p w14:paraId="1928D85A" w14:textId="7EA641EA" w:rsidR="00610151" w:rsidRPr="00765330" w:rsidRDefault="00000000" w:rsidP="0085649C">
      <w:pPr>
        <w:pBdr>
          <w:top w:val="nil"/>
          <w:left w:val="nil"/>
          <w:bottom w:val="nil"/>
          <w:right w:val="nil"/>
          <w:between w:val="nil"/>
        </w:pBdr>
        <w:tabs>
          <w:tab w:val="left" w:pos="900"/>
        </w:tabs>
        <w:spacing w:after="0" w:line="240" w:lineRule="auto"/>
        <w:ind w:firstLine="709"/>
        <w:jc w:val="both"/>
        <w:rPr>
          <w:rFonts w:ascii="Segoe UI" w:eastAsia="Quattrocento Sans" w:hAnsi="Segoe UI" w:cs="Segoe UI"/>
          <w:color w:val="000000"/>
        </w:rPr>
      </w:pPr>
      <w:r w:rsidRPr="00765330">
        <w:rPr>
          <w:rFonts w:ascii="Segoe UI" w:eastAsia="Quattrocento Sans" w:hAnsi="Segoe UI" w:cs="Segoe UI"/>
          <w:color w:val="000000"/>
        </w:rPr>
        <w:t xml:space="preserve">Alasan mengapa </w:t>
      </w:r>
      <w:r w:rsidRPr="00765330">
        <w:rPr>
          <w:rFonts w:ascii="Segoe UI" w:eastAsia="Quattrocento Sans" w:hAnsi="Segoe UI" w:cs="Segoe UI"/>
        </w:rPr>
        <w:t>peneliti</w:t>
      </w:r>
      <w:r w:rsidRPr="00765330">
        <w:rPr>
          <w:rFonts w:ascii="Segoe UI" w:eastAsia="Quattrocento Sans" w:hAnsi="Segoe UI" w:cs="Segoe UI"/>
          <w:color w:val="000000"/>
        </w:rPr>
        <w:t xml:space="preserve"> melakukan edukasi menggunakan audiovisual pada anak agar supaya anak lebih mudah paham tentang kesehatan gigi dan mulut karena ada animasi yang variatif, menarik serta menyenangkan. Pemanfaatan media video dalam pembelajaran dapat memberikan pengalaman belajar yang lebih lengkap dan jelas karena dalam media elektronik mempunyai kelebihan seperti menginstruksikan panca indera sehingga lebih mudah dipahami, lebih menarik karena ada suara dan gambar bergerak. Begitupun dengan edukasi kesehatan selanjutnya yang dilakukan </w:t>
      </w:r>
      <w:r w:rsidRPr="00765330">
        <w:rPr>
          <w:rFonts w:ascii="Segoe UI" w:eastAsia="Quattrocento Sans" w:hAnsi="Segoe UI" w:cs="Segoe UI"/>
        </w:rPr>
        <w:t>peneliti</w:t>
      </w:r>
      <w:r w:rsidRPr="00765330">
        <w:rPr>
          <w:rFonts w:ascii="Segoe UI" w:eastAsia="Quattrocento Sans" w:hAnsi="Segoe UI" w:cs="Segoe UI"/>
          <w:color w:val="000000"/>
        </w:rPr>
        <w:t xml:space="preserve"> yakni bermain tebak gambar, alasan pemilihan permainan ini karena tebak gambar dibuat sesuai dengan karakteristik sasaran penyuluhan yaitu anak usia sekolah (Fatmasari, 2020). </w:t>
      </w:r>
    </w:p>
    <w:p w14:paraId="4F00BF2C" w14:textId="77777777" w:rsidR="00610151" w:rsidRPr="00765330" w:rsidRDefault="00000000" w:rsidP="0085649C">
      <w:pPr>
        <w:pBdr>
          <w:top w:val="nil"/>
          <w:left w:val="nil"/>
          <w:bottom w:val="nil"/>
          <w:right w:val="nil"/>
          <w:between w:val="nil"/>
        </w:pBdr>
        <w:tabs>
          <w:tab w:val="left" w:pos="900"/>
        </w:tabs>
        <w:spacing w:after="0" w:line="240" w:lineRule="auto"/>
        <w:ind w:firstLine="709"/>
        <w:jc w:val="both"/>
        <w:rPr>
          <w:rFonts w:ascii="Segoe UI" w:eastAsia="Quattrocento Sans" w:hAnsi="Segoe UI" w:cs="Segoe UI"/>
        </w:rPr>
      </w:pPr>
      <w:r w:rsidRPr="00765330">
        <w:rPr>
          <w:rFonts w:ascii="Segoe UI" w:eastAsia="Quattrocento Sans" w:hAnsi="Segoe UI" w:cs="Segoe UI"/>
        </w:rPr>
        <w:t>Pada cerita bergambar ataupun tebak gambar, yang dalam proses penyampaian informasi anak dituntut untuk berfikir dan mengasah kreatifitas (Ria, &amp; Kurniawati, 2020). Dalam permainan tebak gambar sendiri pada dasarnya adalah bermain. Bermain ini memberikan dasar yang kuat bagi pertumbuhan intelejensia, kreativitas, dan kemampuan menyelesaikan masalah. Bermain juga merupakan alat untuk perkembangan emosi serta pengembangan keterampilan - ketarampilan sosial dasar anak. Metode kertas bergambar diharapkan memacu responden untuk mengidentifikasi materi tentang kesehatan gigi dan mulut. Hal ini sesuai dengan satu teori bahwa dalam mengembangkan daya nalar anak, dapat dilakukan dengan melatih anak untuk mengungkapkan pendapat atau gagasan atau penilaiannya terhadap berbagai hal, baik yang dialaminya maupun peristiwa yang terjadi disekitarnya (Sari, Elianora, &amp; Bakar, 2017).</w:t>
      </w:r>
    </w:p>
    <w:p w14:paraId="6AB2E9F3" w14:textId="3097776C" w:rsidR="00610151" w:rsidRPr="00B37AA1" w:rsidRDefault="00B37AA1" w:rsidP="0085649C">
      <w:pPr>
        <w:pStyle w:val="ListParagraph"/>
        <w:numPr>
          <w:ilvl w:val="6"/>
          <w:numId w:val="6"/>
        </w:numPr>
        <w:pBdr>
          <w:top w:val="nil"/>
          <w:left w:val="nil"/>
          <w:bottom w:val="nil"/>
          <w:right w:val="nil"/>
          <w:between w:val="nil"/>
        </w:pBdr>
        <w:spacing w:after="0" w:line="240" w:lineRule="auto"/>
        <w:ind w:left="284" w:hanging="284"/>
        <w:jc w:val="both"/>
        <w:rPr>
          <w:rFonts w:ascii="Segoe UI" w:eastAsia="Quattrocento Sans" w:hAnsi="Segoe UI" w:cs="Segoe UI"/>
          <w:bCs/>
          <w:color w:val="000000"/>
        </w:rPr>
      </w:pPr>
      <w:r w:rsidRPr="00B37AA1">
        <w:rPr>
          <w:rFonts w:ascii="Segoe UI" w:eastAsia="Quattrocento Sans" w:hAnsi="Segoe UI" w:cs="Segoe UI"/>
          <w:bCs/>
          <w:color w:val="000000"/>
        </w:rPr>
        <w:t xml:space="preserve">Analisis Penerapan Intervensi Demonstrasi Sikat Gigi Menggunakan Miniatur Sikat Gigi Dan Demonstrasi Langsung </w:t>
      </w:r>
    </w:p>
    <w:p w14:paraId="6CC60FDA"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rPr>
      </w:pPr>
      <w:r w:rsidRPr="00765330">
        <w:rPr>
          <w:rFonts w:ascii="Segoe UI" w:eastAsia="Quattrocento Sans" w:hAnsi="Segoe UI" w:cs="Segoe UI"/>
          <w:color w:val="000000"/>
        </w:rPr>
        <w:lastRenderedPageBreak/>
        <w:t xml:space="preserve">Intervensi selanjutnya yang dilakukan </w:t>
      </w:r>
      <w:r w:rsidRPr="00765330">
        <w:rPr>
          <w:rFonts w:ascii="Segoe UI" w:eastAsia="Quattrocento Sans" w:hAnsi="Segoe UI" w:cs="Segoe UI"/>
        </w:rPr>
        <w:t>peneliti</w:t>
      </w:r>
      <w:r w:rsidRPr="00765330">
        <w:rPr>
          <w:rFonts w:ascii="Segoe UI" w:eastAsia="Quattrocento Sans" w:hAnsi="Segoe UI" w:cs="Segoe UI"/>
          <w:color w:val="000000"/>
        </w:rPr>
        <w:t xml:space="preserve"> pada diagnosa kerusakan gigi yakni demonstrasi sikat gigi menggunakan miniatur sikat gigi dan demonstrasi secara langsung. Alasan peneliti membuat alat peraga edukatif ini tujuannya agar anak dapat memiliki pengalaman baru yang bermanfaat dan bereksperimen untuk pengembangan kecerdasan, fisik, dan emosional anak. Selain itu dapat memperjelas materi edukasi yang diberikan kepada anak serta memberikan kesenangan bagi anak dalam bermain. Pembuatan miniatur gigi dan mulut serta demonstrasi secara langsung ini juga melibatkan kemampuan motorik halus pada anak, dengan aktivitas motorik yang melibatkan aktivitas otot-otot kecil atau halus, gerakan ini menuntut koordinasi mata, tangan dan kemampuan pengendalian gerak yang baik yang memungkinkannya untuk melakukan ketepatan dan kecermatan dalam gerakannya yang dilakukan oleh tubuh dengan tujuan meningkatkan kemampuan motorik halus pada anak yaitu melatih anak agar terampil dan cermat menggunakan jari jemarinya dalam kehidupan sehari-hari khususnya pekerjaan yang melibatkan usur keterampilan tangan salah satunya menyikat gigi (Nuryana &amp; Reza, 2014).</w:t>
      </w:r>
    </w:p>
    <w:p w14:paraId="055B12B6"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color w:val="000000"/>
          <w:lang w:val="en-US"/>
        </w:rPr>
      </w:pPr>
      <w:r w:rsidRPr="00765330">
        <w:rPr>
          <w:rFonts w:ascii="Segoe UI" w:eastAsia="Quattrocento Sans" w:hAnsi="Segoe UI" w:cs="Segoe UI"/>
          <w:color w:val="000000"/>
        </w:rPr>
        <w:t xml:space="preserve">Pembuatan miniatur sikat gigi </w:t>
      </w:r>
      <w:r w:rsidRPr="00765330">
        <w:rPr>
          <w:rFonts w:ascii="Segoe UI" w:eastAsia="Quattrocento Sans" w:hAnsi="Segoe UI" w:cs="Segoe UI"/>
        </w:rPr>
        <w:t>peneliti</w:t>
      </w:r>
      <w:r w:rsidRPr="00765330">
        <w:rPr>
          <w:rFonts w:ascii="Segoe UI" w:eastAsia="Quattrocento Sans" w:hAnsi="Segoe UI" w:cs="Segoe UI"/>
          <w:color w:val="000000"/>
        </w:rPr>
        <w:t xml:space="preserve"> membuatnya bersama An.L dan </w:t>
      </w:r>
      <w:r w:rsidRPr="00765330">
        <w:rPr>
          <w:rFonts w:ascii="Segoe UI" w:eastAsia="Quattrocento Sans" w:hAnsi="Segoe UI" w:cs="Segoe UI"/>
        </w:rPr>
        <w:t>peneliti</w:t>
      </w:r>
      <w:r w:rsidRPr="00765330">
        <w:rPr>
          <w:rFonts w:ascii="Segoe UI" w:eastAsia="Quattrocento Sans" w:hAnsi="Segoe UI" w:cs="Segoe UI"/>
          <w:color w:val="000000"/>
        </w:rPr>
        <w:t xml:space="preserve"> hanya menginstruksikan dan mencontohkan pembuatannya selanjutnya An.L yang melanjutkan sampai selesai. </w:t>
      </w:r>
      <w:r w:rsidRPr="00765330">
        <w:rPr>
          <w:rFonts w:ascii="Segoe UI" w:eastAsia="Quattrocento Sans" w:hAnsi="Segoe UI" w:cs="Segoe UI"/>
          <w:color w:val="000000"/>
          <w:lang w:val="en-US"/>
        </w:rPr>
        <w:t>Bahan-bahan yang digunakan yakni kertas berwarna, gunting, lem dan steforom. Langkah yang pertama yakni membuat bentuk mulut, kertas dibentuk menjadi bentuk elips, bentuk elips sudah tergambar di kertas dan tinggal digunting. Selanjutnya membuat bantuk lidah, sudah tergambar dikertas dan tinggal digunting. Selanjutnya sterofom, dibuat menjadi bentuk kotak” kecil, dan sterofom ini akan dijadikan sebagai gigi dari miniatur yang akan dibuat. Gambar bentuk elips ditempel bersama bentuk lidah yang sudah digunting, kemudian menempelkan bentuk sterofom di sekitar kertas yang berbentuk elips tadi dan dapat berbentuk menjadi bentuk mulut seperti gambar yang ada dibawah ini.</w:t>
      </w:r>
    </w:p>
    <w:p w14:paraId="11E994FB" w14:textId="168B9457" w:rsidR="00610151" w:rsidRPr="00765330" w:rsidRDefault="0085649C" w:rsidP="0085649C">
      <w:pPr>
        <w:pBdr>
          <w:top w:val="nil"/>
          <w:left w:val="nil"/>
          <w:bottom w:val="nil"/>
          <w:right w:val="nil"/>
          <w:between w:val="nil"/>
        </w:pBdr>
        <w:spacing w:after="0" w:line="240" w:lineRule="auto"/>
        <w:ind w:firstLine="709"/>
        <w:jc w:val="both"/>
        <w:rPr>
          <w:rFonts w:ascii="Segoe UI" w:eastAsia="Quattrocento Sans" w:hAnsi="Segoe UI" w:cs="Segoe UI"/>
          <w:lang w:val="en-US"/>
        </w:rPr>
      </w:pPr>
      <w:r w:rsidRPr="00765330">
        <w:rPr>
          <w:rFonts w:ascii="Segoe UI" w:hAnsi="Segoe UI" w:cs="Segoe UI"/>
          <w:noProof/>
        </w:rPr>
        <w:drawing>
          <wp:anchor distT="0" distB="0" distL="114300" distR="114300" simplePos="0" relativeHeight="251659264" behindDoc="0" locked="0" layoutInCell="1" hidden="0" allowOverlap="1" wp14:anchorId="78FF68F9" wp14:editId="43E1F879">
            <wp:simplePos x="0" y="0"/>
            <wp:positionH relativeFrom="column">
              <wp:posOffset>3205480</wp:posOffset>
            </wp:positionH>
            <wp:positionV relativeFrom="paragraph">
              <wp:posOffset>182245</wp:posOffset>
            </wp:positionV>
            <wp:extent cx="2085340" cy="2434590"/>
            <wp:effectExtent l="0" t="0" r="0" b="381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085340" cy="2434590"/>
                    </a:xfrm>
                    <a:prstGeom prst="rect">
                      <a:avLst/>
                    </a:prstGeom>
                    <a:ln/>
                  </pic:spPr>
                </pic:pic>
              </a:graphicData>
            </a:graphic>
            <wp14:sizeRelH relativeFrom="margin">
              <wp14:pctWidth>0</wp14:pctWidth>
            </wp14:sizeRelH>
            <wp14:sizeRelV relativeFrom="margin">
              <wp14:pctHeight>0</wp14:pctHeight>
            </wp14:sizeRelV>
          </wp:anchor>
        </w:drawing>
      </w:r>
      <w:r w:rsidRPr="00765330">
        <w:rPr>
          <w:rFonts w:ascii="Segoe UI" w:hAnsi="Segoe UI" w:cs="Segoe UI"/>
          <w:noProof/>
        </w:rPr>
        <w:drawing>
          <wp:anchor distT="0" distB="0" distL="114300" distR="114300" simplePos="0" relativeHeight="251658240" behindDoc="0" locked="0" layoutInCell="1" hidden="0" allowOverlap="1" wp14:anchorId="34A2A5FB" wp14:editId="42B9EC87">
            <wp:simplePos x="0" y="0"/>
            <wp:positionH relativeFrom="column">
              <wp:posOffset>585470</wp:posOffset>
            </wp:positionH>
            <wp:positionV relativeFrom="paragraph">
              <wp:posOffset>182245</wp:posOffset>
            </wp:positionV>
            <wp:extent cx="2085340" cy="2414270"/>
            <wp:effectExtent l="0" t="0" r="0" b="508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085340" cy="2414270"/>
                    </a:xfrm>
                    <a:prstGeom prst="rect">
                      <a:avLst/>
                    </a:prstGeom>
                    <a:ln/>
                  </pic:spPr>
                </pic:pic>
              </a:graphicData>
            </a:graphic>
            <wp14:sizeRelH relativeFrom="margin">
              <wp14:pctWidth>0</wp14:pctWidth>
            </wp14:sizeRelH>
            <wp14:sizeRelV relativeFrom="margin">
              <wp14:pctHeight>0</wp14:pctHeight>
            </wp14:sizeRelV>
          </wp:anchor>
        </w:drawing>
      </w:r>
    </w:p>
    <w:p w14:paraId="490511E3" w14:textId="3FCC2A9D" w:rsidR="00610151" w:rsidRPr="00765330" w:rsidRDefault="00000000" w:rsidP="0085649C">
      <w:pPr>
        <w:pBdr>
          <w:top w:val="nil"/>
          <w:left w:val="nil"/>
          <w:bottom w:val="nil"/>
          <w:right w:val="nil"/>
          <w:between w:val="nil"/>
        </w:pBdr>
        <w:spacing w:after="0" w:line="240" w:lineRule="auto"/>
        <w:ind w:firstLine="709"/>
        <w:jc w:val="center"/>
        <w:rPr>
          <w:rFonts w:ascii="Segoe UI" w:eastAsia="Quattrocento Sans" w:hAnsi="Segoe UI" w:cs="Segoe UI"/>
          <w:lang w:val="en-US"/>
        </w:rPr>
      </w:pPr>
      <w:r w:rsidRPr="00765330">
        <w:rPr>
          <w:rFonts w:ascii="Segoe UI" w:eastAsia="Quattrocento Sans" w:hAnsi="Segoe UI" w:cs="Segoe UI"/>
          <w:lang w:val="en-US"/>
        </w:rPr>
        <w:t xml:space="preserve"> </w:t>
      </w:r>
    </w:p>
    <w:p w14:paraId="628C0DDA" w14:textId="77777777" w:rsidR="00610151" w:rsidRPr="00765330" w:rsidRDefault="00610151"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31FC3C9D" w14:textId="77777777" w:rsidR="00610151" w:rsidRPr="00765330" w:rsidRDefault="00610151"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34AE1366" w14:textId="77777777" w:rsidR="00610151" w:rsidRPr="00765330" w:rsidRDefault="00610151"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152B0B05" w14:textId="77777777" w:rsidR="00610151" w:rsidRPr="00765330" w:rsidRDefault="00610151"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2F5285ED" w14:textId="77777777" w:rsidR="00610151" w:rsidRPr="00765330" w:rsidRDefault="00610151"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0BE8970A" w14:textId="77777777" w:rsidR="00610151" w:rsidRPr="00765330" w:rsidRDefault="00610151"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718A22AF"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70FB2BAE"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7AC18488"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26E1157D"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03470E2B"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42A8BF7F"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1FD303CB" w14:textId="77777777" w:rsidR="0085649C" w:rsidRPr="00765330"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b/>
          <w:lang w:val="en-US"/>
        </w:rPr>
      </w:pPr>
    </w:p>
    <w:p w14:paraId="43FF2431" w14:textId="77777777" w:rsidR="00610151" w:rsidRDefault="00000000" w:rsidP="0085649C">
      <w:pPr>
        <w:pBdr>
          <w:top w:val="nil"/>
          <w:left w:val="nil"/>
          <w:bottom w:val="nil"/>
          <w:right w:val="nil"/>
          <w:between w:val="nil"/>
        </w:pBdr>
        <w:spacing w:after="0" w:line="240" w:lineRule="auto"/>
        <w:ind w:firstLine="709"/>
        <w:jc w:val="center"/>
        <w:rPr>
          <w:rFonts w:ascii="Segoe UI" w:eastAsia="Quattrocento Sans" w:hAnsi="Segoe UI" w:cs="Segoe UI"/>
          <w:lang w:val="en-US"/>
        </w:rPr>
      </w:pPr>
      <w:r w:rsidRPr="0085649C">
        <w:rPr>
          <w:rFonts w:ascii="Segoe UI" w:eastAsia="Quattrocento Sans" w:hAnsi="Segoe UI" w:cs="Segoe UI"/>
          <w:bCs/>
          <w:lang w:val="en-US"/>
        </w:rPr>
        <w:t>Gambar1: P</w:t>
      </w:r>
      <w:r w:rsidRPr="00765330">
        <w:rPr>
          <w:rFonts w:ascii="Segoe UI" w:eastAsia="Quattrocento Sans" w:hAnsi="Segoe UI" w:cs="Segoe UI"/>
          <w:lang w:val="en-US"/>
        </w:rPr>
        <w:t xml:space="preserve">embuatan miniatur gigi bersama anak </w:t>
      </w:r>
    </w:p>
    <w:p w14:paraId="747A8FF5" w14:textId="77777777" w:rsidR="0085649C" w:rsidRPr="00765330"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lang w:val="en-US"/>
        </w:rPr>
      </w:pPr>
    </w:p>
    <w:p w14:paraId="2E1C35C2"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lang w:val="en-US"/>
        </w:rPr>
      </w:pPr>
      <w:r w:rsidRPr="00765330">
        <w:rPr>
          <w:rFonts w:ascii="Segoe UI" w:eastAsia="Quattrocento Sans" w:hAnsi="Segoe UI" w:cs="Segoe UI"/>
          <w:lang w:val="en-US"/>
        </w:rPr>
        <w:t xml:space="preserve">Kemampuan melihat, meniru yang dilakukan anak saat pertama kali belajar melipat kertas, menempel, mengunting nantinya diharapkan dapat berkembang menjadi keinginan menemukan pola-pola baru yang menarik sesuai dengan apa yang ada dalam pikiran mereka. Meski terlihat sederhana, kegiatan ini jelas sangat penting bagi anak karena dalam permainan membuat miniatur sikat gigi ini seorang anak setidaknya dapat mempelajari perbedaan warna, pengendalian diri dan rasa sabar ketika salah dalam melipat kertas, mengunting, menempel </w:t>
      </w:r>
      <w:r w:rsidRPr="00765330">
        <w:rPr>
          <w:rFonts w:ascii="Segoe UI" w:eastAsia="Quattrocento Sans" w:hAnsi="Segoe UI" w:cs="Segoe UI"/>
          <w:lang w:val="en-US"/>
        </w:rPr>
        <w:lastRenderedPageBreak/>
        <w:t>dan menempatkan posisi sterofom, sehingga anak dapat memiliki jiwa yang pantang menyerah untuk selalu mencoba untuk menemukan hasil yang mereka inginkan.</w:t>
      </w:r>
    </w:p>
    <w:p w14:paraId="0B4711AC" w14:textId="77777777" w:rsidR="00610151" w:rsidRPr="00765330"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lang w:val="en-US"/>
        </w:rPr>
      </w:pPr>
      <w:r w:rsidRPr="00765330">
        <w:rPr>
          <w:rFonts w:ascii="Segoe UI" w:eastAsia="Quattrocento Sans" w:hAnsi="Segoe UI" w:cs="Segoe UI"/>
          <w:lang w:val="en-US"/>
        </w:rPr>
        <w:t>Penyuluhan dengan media alat peraga langsung sangat efektif sebagai sarana untuk menyampaikan pesan/nasehat pada anak-anak, mana yang baik untuk dilakukan dan mana yang tidak baik. misalnya penelitian yang dilakukan oleh Asridiana (2019), bahwa penyuluhan menggunakan metode alat peraga langsung efektif untuk digunakan sebagai penyuluhan kesehatan karna terjadi peningkatan keterampilan gosok gigi. Dengan menggunakan metode alat peraga langsung anak diajak untuk berperan aktif selama penyuluhan kesehatan dengan alat peraga langsung menggunakan komunikasi dua arah, lebih berinteraksi langsung dengan anak dan anak dapat mempraktekan gosok gigi langsung dengan meniru pada saat diberikan penyuluhan kesehatan.</w:t>
      </w:r>
    </w:p>
    <w:p w14:paraId="79BC77ED"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bookmarkStart w:id="5" w:name="_tyjcwt" w:colFirst="0" w:colLast="0"/>
      <w:bookmarkEnd w:id="5"/>
    </w:p>
    <w:p w14:paraId="31F69534" w14:textId="054474AE"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r w:rsidRPr="00765330">
        <w:rPr>
          <w:rFonts w:ascii="Segoe UI" w:eastAsia="Quattrocento Sans" w:hAnsi="Segoe UI" w:cs="Segoe UI"/>
          <w:noProof/>
        </w:rPr>
        <w:drawing>
          <wp:anchor distT="0" distB="0" distL="114300" distR="114300" simplePos="0" relativeHeight="251661312" behindDoc="0" locked="0" layoutInCell="1" allowOverlap="1" wp14:anchorId="08C4D814" wp14:editId="144907CE">
            <wp:simplePos x="0" y="0"/>
            <wp:positionH relativeFrom="column">
              <wp:posOffset>2948305</wp:posOffset>
            </wp:positionH>
            <wp:positionV relativeFrom="paragraph">
              <wp:posOffset>28575</wp:posOffset>
            </wp:positionV>
            <wp:extent cx="2341880" cy="2677160"/>
            <wp:effectExtent l="0" t="0" r="1270" b="8890"/>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341880" cy="2677160"/>
                    </a:xfrm>
                    <a:prstGeom prst="rect">
                      <a:avLst/>
                    </a:prstGeom>
                    <a:ln/>
                  </pic:spPr>
                </pic:pic>
              </a:graphicData>
            </a:graphic>
            <wp14:sizeRelH relativeFrom="page">
              <wp14:pctWidth>0</wp14:pctWidth>
            </wp14:sizeRelH>
            <wp14:sizeRelV relativeFrom="page">
              <wp14:pctHeight>0</wp14:pctHeight>
            </wp14:sizeRelV>
          </wp:anchor>
        </w:drawing>
      </w:r>
      <w:r w:rsidRPr="00765330">
        <w:rPr>
          <w:rFonts w:ascii="Segoe UI" w:eastAsia="Quattrocento Sans" w:hAnsi="Segoe UI" w:cs="Segoe UI"/>
          <w:noProof/>
        </w:rPr>
        <w:drawing>
          <wp:anchor distT="0" distB="0" distL="114300" distR="114300" simplePos="0" relativeHeight="251660288" behindDoc="1" locked="0" layoutInCell="1" allowOverlap="1" wp14:anchorId="1D785351" wp14:editId="3888DE58">
            <wp:simplePos x="0" y="0"/>
            <wp:positionH relativeFrom="column">
              <wp:posOffset>143839</wp:posOffset>
            </wp:positionH>
            <wp:positionV relativeFrom="paragraph">
              <wp:posOffset>59412</wp:posOffset>
            </wp:positionV>
            <wp:extent cx="2240530" cy="2617433"/>
            <wp:effectExtent l="0" t="0" r="762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245272" cy="2622972"/>
                    </a:xfrm>
                    <a:prstGeom prst="rect">
                      <a:avLst/>
                    </a:prstGeom>
                    <a:ln/>
                  </pic:spPr>
                </pic:pic>
              </a:graphicData>
            </a:graphic>
            <wp14:sizeRelH relativeFrom="page">
              <wp14:pctWidth>0</wp14:pctWidth>
            </wp14:sizeRelH>
            <wp14:sizeRelV relativeFrom="page">
              <wp14:pctHeight>0</wp14:pctHeight>
            </wp14:sizeRelV>
          </wp:anchor>
        </w:drawing>
      </w:r>
    </w:p>
    <w:p w14:paraId="1A568E9F"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6AEB566C" w14:textId="40C5A864"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24FED320"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244BA32E" w14:textId="5AA9AF7C"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4FA6FD26"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48E23EAC" w14:textId="0AD4903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36CE7563" w14:textId="1AB7303D"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11FE7CFB"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28A845C2"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4F8B5639"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1F247E2F"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48E68799"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44AEE7F1" w14:textId="77777777" w:rsidR="0085649C"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407D9DD2" w14:textId="09DF7A1D" w:rsidR="00610151" w:rsidRPr="00765330" w:rsidRDefault="00610151"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2E1C4CD1" w14:textId="77777777" w:rsidR="00610151" w:rsidRDefault="00000000" w:rsidP="0085649C">
      <w:pPr>
        <w:pBdr>
          <w:top w:val="nil"/>
          <w:left w:val="nil"/>
          <w:bottom w:val="nil"/>
          <w:right w:val="nil"/>
          <w:between w:val="nil"/>
        </w:pBdr>
        <w:spacing w:after="0" w:line="240" w:lineRule="auto"/>
        <w:ind w:firstLine="709"/>
        <w:jc w:val="center"/>
        <w:rPr>
          <w:rFonts w:ascii="Segoe UI" w:eastAsia="Quattrocento Sans" w:hAnsi="Segoe UI" w:cs="Segoe UI"/>
        </w:rPr>
      </w:pPr>
      <w:r w:rsidRPr="00765330">
        <w:rPr>
          <w:rFonts w:ascii="Segoe UI" w:eastAsia="Quattrocento Sans" w:hAnsi="Segoe UI" w:cs="Segoe UI"/>
          <w:b/>
        </w:rPr>
        <w:t>Gambar 2:</w:t>
      </w:r>
      <w:r w:rsidRPr="00765330">
        <w:rPr>
          <w:rFonts w:ascii="Segoe UI" w:eastAsia="Quattrocento Sans" w:hAnsi="Segoe UI" w:cs="Segoe UI"/>
        </w:rPr>
        <w:t xml:space="preserve"> Demonstrasi menggunakan miniatur gigi dan mulut</w:t>
      </w:r>
    </w:p>
    <w:p w14:paraId="00B5E7C6" w14:textId="77777777" w:rsidR="0085649C" w:rsidRPr="00765330" w:rsidRDefault="0085649C" w:rsidP="0085649C">
      <w:pPr>
        <w:pBdr>
          <w:top w:val="nil"/>
          <w:left w:val="nil"/>
          <w:bottom w:val="nil"/>
          <w:right w:val="nil"/>
          <w:between w:val="nil"/>
        </w:pBdr>
        <w:spacing w:after="0" w:line="240" w:lineRule="auto"/>
        <w:ind w:firstLine="709"/>
        <w:jc w:val="center"/>
        <w:rPr>
          <w:rFonts w:ascii="Segoe UI" w:eastAsia="Quattrocento Sans" w:hAnsi="Segoe UI" w:cs="Segoe UI"/>
        </w:rPr>
      </w:pPr>
    </w:p>
    <w:p w14:paraId="0EBBCB5D" w14:textId="77777777" w:rsidR="00610151" w:rsidRDefault="00000000" w:rsidP="0085649C">
      <w:pPr>
        <w:pBdr>
          <w:top w:val="nil"/>
          <w:left w:val="nil"/>
          <w:bottom w:val="nil"/>
          <w:right w:val="nil"/>
          <w:between w:val="nil"/>
        </w:pBdr>
        <w:spacing w:after="0" w:line="240" w:lineRule="auto"/>
        <w:ind w:firstLine="709"/>
        <w:jc w:val="both"/>
        <w:rPr>
          <w:rFonts w:ascii="Segoe UI" w:eastAsia="Quattrocento Sans" w:hAnsi="Segoe UI" w:cs="Segoe UI"/>
        </w:rPr>
      </w:pPr>
      <w:r w:rsidRPr="00765330">
        <w:rPr>
          <w:rFonts w:ascii="Segoe UI" w:eastAsia="Quattrocento Sans" w:hAnsi="Segoe UI" w:cs="Segoe UI"/>
        </w:rPr>
        <w:t>Usia saat sekolah dasar merupakan saat yang ideal untuk melatih kemampuan motorik seorang anak, termasuk diantaranya menyikat gigi secara langsung. Bagi anak, cara menyikat gigi perlu diberikan contoh suatu model yang baik serta dengan teknik yang sederhana mungkin. Dengan intervensi demonstrasi secara langsung yang dilakukan dapat bermanfaat untuk menambah pengetahuan, kemampuannya melalui teknik demonstrasi belajar secara langsung instruksi dengan tujuan mengubah perilaku anak untuk meningkatkan kesehatan gigi dan mulutnya.</w:t>
      </w:r>
    </w:p>
    <w:p w14:paraId="78BE7505" w14:textId="77777777" w:rsidR="0085649C" w:rsidRPr="00765330" w:rsidRDefault="0085649C" w:rsidP="0085649C">
      <w:pPr>
        <w:pBdr>
          <w:top w:val="nil"/>
          <w:left w:val="nil"/>
          <w:bottom w:val="nil"/>
          <w:right w:val="nil"/>
          <w:between w:val="nil"/>
        </w:pBdr>
        <w:spacing w:after="0" w:line="240" w:lineRule="auto"/>
        <w:ind w:firstLine="709"/>
        <w:jc w:val="both"/>
        <w:rPr>
          <w:rFonts w:ascii="Segoe UI" w:eastAsia="Quattrocento Sans" w:hAnsi="Segoe UI" w:cs="Segoe UI"/>
        </w:rPr>
      </w:pPr>
    </w:p>
    <w:p w14:paraId="557575AB" w14:textId="7AB41B2C" w:rsidR="00610151" w:rsidRPr="0085649C" w:rsidRDefault="00000000" w:rsidP="0085649C">
      <w:pPr>
        <w:pStyle w:val="ListParagraph"/>
        <w:numPr>
          <w:ilvl w:val="0"/>
          <w:numId w:val="5"/>
        </w:numPr>
        <w:spacing w:after="0" w:line="240" w:lineRule="auto"/>
        <w:ind w:left="284" w:hanging="284"/>
        <w:jc w:val="both"/>
        <w:rPr>
          <w:rFonts w:ascii="Segoe UI" w:eastAsia="Quattrocento Sans" w:hAnsi="Segoe UI" w:cs="Segoe UI"/>
          <w:b/>
          <w:color w:val="000000"/>
          <w:highlight w:val="white"/>
        </w:rPr>
      </w:pPr>
      <w:r w:rsidRPr="0085649C">
        <w:rPr>
          <w:rFonts w:ascii="Segoe UI" w:eastAsia="Quattrocento Sans" w:hAnsi="Segoe UI" w:cs="Segoe UI"/>
          <w:b/>
          <w:color w:val="000000"/>
          <w:highlight w:val="white"/>
        </w:rPr>
        <w:t>K</w:t>
      </w:r>
      <w:r w:rsidR="00B37AA1" w:rsidRPr="0085649C">
        <w:rPr>
          <w:rFonts w:ascii="Segoe UI" w:eastAsia="Quattrocento Sans" w:hAnsi="Segoe UI" w:cs="Segoe UI"/>
          <w:b/>
          <w:color w:val="000000"/>
          <w:highlight w:val="white"/>
        </w:rPr>
        <w:t>ESIMPULAN</w:t>
      </w:r>
    </w:p>
    <w:p w14:paraId="2A863BE2" w14:textId="77777777" w:rsidR="0085649C" w:rsidRPr="0085649C" w:rsidRDefault="0085649C" w:rsidP="0085649C">
      <w:pPr>
        <w:pStyle w:val="ListParagraph"/>
        <w:spacing w:after="0" w:line="240" w:lineRule="auto"/>
        <w:jc w:val="both"/>
        <w:rPr>
          <w:rFonts w:ascii="Segoe UI" w:eastAsia="Quattrocento Sans" w:hAnsi="Segoe UI" w:cs="Segoe UI"/>
          <w:b/>
          <w:color w:val="000000"/>
          <w:highlight w:val="white"/>
        </w:rPr>
      </w:pPr>
    </w:p>
    <w:p w14:paraId="046F9E6D" w14:textId="042E64DA" w:rsidR="0085649C" w:rsidRDefault="00040763" w:rsidP="0085649C">
      <w:pPr>
        <w:pBdr>
          <w:top w:val="nil"/>
          <w:left w:val="nil"/>
          <w:bottom w:val="nil"/>
          <w:right w:val="nil"/>
          <w:between w:val="nil"/>
        </w:pBdr>
        <w:spacing w:after="0" w:line="240" w:lineRule="auto"/>
        <w:ind w:firstLine="644"/>
        <w:jc w:val="both"/>
        <w:rPr>
          <w:rFonts w:ascii="Segoe UI" w:eastAsia="Quattrocento Sans" w:hAnsi="Segoe UI" w:cs="Segoe UI"/>
          <w:color w:val="000000"/>
        </w:rPr>
      </w:pPr>
      <w:r w:rsidRPr="00040763">
        <w:rPr>
          <w:rFonts w:ascii="Segoe UI" w:eastAsia="Quattrocento Sans" w:hAnsi="Segoe UI" w:cs="Segoe UI"/>
          <w:color w:val="000000"/>
        </w:rPr>
        <w:t xml:space="preserve">Masalah yang ditemukan pada keluarga kelolaan, khususnya pada anak bernama An.L, adalah adanya kerusakan gigi serta perilaku kesehatan yang tergolong berisiko, seperti kurangnya kesadaran dalam menjaga kebersihan gigi dan mulut. Untuk mengatasi permasalahan tersebut, intervensi keperawatan yang diberikan difokuskan pada edukasi kesehatan yang dilakukan secara menyenangkan dan interaktif. Metode yang digunakan meliputi permainan tebak gambar yang berkaitan dengan kesehatan gigi, penggunaan media audiovisual untuk menarik perhatian anak, serta pembuatan miniatur gigi dan mulut yang dikerjakan bersama anak guna meningkatkan pemahaman melalui aktivitas langsung. Selain </w:t>
      </w:r>
      <w:r w:rsidRPr="00040763">
        <w:rPr>
          <w:rFonts w:ascii="Segoe UI" w:eastAsia="Quattrocento Sans" w:hAnsi="Segoe UI" w:cs="Segoe UI"/>
          <w:color w:val="000000"/>
        </w:rPr>
        <w:lastRenderedPageBreak/>
        <w:t>itu, dilakukan pula demonstrasi cara menyikat gigi yang benar dengan menggunakan miniatur sikat gigi buatan sendiri dan juga demonstrasi secara langsung oleh perawat. Hasil evaluasi dari tindakan keperawatan yang telah diberikan menunjukkan keberhasilan, di mana An.L mampu memahami materi edukasi dan demonstrasi yang disampaikan. Hal ini ditunjukkan melalui perubahan perilaku An.L yang kini lebih peduli terhadap kesehatan gigi dan mulut, serta mulai membiasakan diri melakukan perilaku hidup bersih dan sehat (PHBS), seperti mencuci tangan menggunakan sabun sebelum makan dan setelah bermain.</w:t>
      </w:r>
    </w:p>
    <w:p w14:paraId="657E987F" w14:textId="77777777" w:rsidR="00040763" w:rsidRPr="00765330" w:rsidRDefault="00040763" w:rsidP="0085649C">
      <w:pPr>
        <w:pBdr>
          <w:top w:val="nil"/>
          <w:left w:val="nil"/>
          <w:bottom w:val="nil"/>
          <w:right w:val="nil"/>
          <w:between w:val="nil"/>
        </w:pBdr>
        <w:spacing w:after="0" w:line="240" w:lineRule="auto"/>
        <w:ind w:firstLine="644"/>
        <w:jc w:val="both"/>
        <w:rPr>
          <w:rFonts w:ascii="Segoe UI" w:eastAsia="Quattrocento Sans" w:hAnsi="Segoe UI" w:cs="Segoe UI"/>
          <w:color w:val="000000"/>
        </w:rPr>
      </w:pPr>
    </w:p>
    <w:p w14:paraId="3B30D1CD" w14:textId="77777777" w:rsidR="00610151" w:rsidRDefault="00000000" w:rsidP="0085649C">
      <w:pPr>
        <w:spacing w:after="0" w:line="240" w:lineRule="auto"/>
        <w:jc w:val="both"/>
        <w:rPr>
          <w:rFonts w:ascii="Segoe UI" w:eastAsia="Quattrocento Sans" w:hAnsi="Segoe UI" w:cs="Segoe UI"/>
          <w:b/>
          <w:color w:val="000000"/>
          <w:highlight w:val="white"/>
        </w:rPr>
      </w:pPr>
      <w:r w:rsidRPr="00765330">
        <w:rPr>
          <w:rFonts w:ascii="Segoe UI" w:eastAsia="Quattrocento Sans" w:hAnsi="Segoe UI" w:cs="Segoe UI"/>
          <w:b/>
          <w:color w:val="000000"/>
          <w:highlight w:val="white"/>
        </w:rPr>
        <w:t xml:space="preserve">Ucapan Terima Kasih </w:t>
      </w:r>
    </w:p>
    <w:p w14:paraId="09C7D73E" w14:textId="77777777" w:rsidR="0085649C" w:rsidRPr="00765330" w:rsidRDefault="0085649C" w:rsidP="0085649C">
      <w:pPr>
        <w:spacing w:after="0" w:line="240" w:lineRule="auto"/>
        <w:jc w:val="both"/>
        <w:rPr>
          <w:rFonts w:ascii="Segoe UI" w:eastAsia="Quattrocento Sans" w:hAnsi="Segoe UI" w:cs="Segoe UI"/>
          <w:b/>
          <w:color w:val="000000"/>
          <w:highlight w:val="white"/>
        </w:rPr>
      </w:pPr>
    </w:p>
    <w:p w14:paraId="633FDCFC" w14:textId="6CA8752F" w:rsidR="00610151" w:rsidRDefault="00000000" w:rsidP="0085649C">
      <w:pPr>
        <w:spacing w:after="0" w:line="240" w:lineRule="auto"/>
        <w:jc w:val="both"/>
        <w:rPr>
          <w:rFonts w:ascii="Segoe UI" w:eastAsia="Quattrocento Sans" w:hAnsi="Segoe UI" w:cs="Segoe UI"/>
          <w:color w:val="000000"/>
        </w:rPr>
      </w:pPr>
      <w:r w:rsidRPr="00765330">
        <w:rPr>
          <w:rFonts w:ascii="Segoe UI" w:eastAsia="Quattrocento Sans" w:hAnsi="Segoe UI" w:cs="Segoe UI"/>
        </w:rPr>
        <w:t xml:space="preserve">Penelitian ini dapat dilaksanakan dengan baik berkat bantuan dari berbagai pihak, untuk itu salah satunya peneliti mengucapkan terima kasih kepada </w:t>
      </w:r>
      <w:r w:rsidRPr="00765330">
        <w:rPr>
          <w:rFonts w:ascii="Segoe UI" w:eastAsia="Quattrocento Sans" w:hAnsi="Segoe UI" w:cs="Segoe UI"/>
          <w:color w:val="000000"/>
        </w:rPr>
        <w:t>Kepada keluarga kelolaan yang ada di lingkungan 2 Tongkaina Kecamatan Bunaken yang telah bersedia menjadi keluarga binaan dan banyak membantu selama penulis mengumpulkan data, melakukan intervensi, implementasi sampai evaluasi keperawatan.</w:t>
      </w:r>
    </w:p>
    <w:p w14:paraId="54CB98E8" w14:textId="77777777" w:rsidR="0085649C" w:rsidRPr="00765330" w:rsidRDefault="0085649C" w:rsidP="0085649C">
      <w:pPr>
        <w:spacing w:after="0" w:line="240" w:lineRule="auto"/>
        <w:jc w:val="both"/>
        <w:rPr>
          <w:rFonts w:ascii="Segoe UI" w:eastAsia="Quattrocento Sans" w:hAnsi="Segoe UI" w:cs="Segoe UI"/>
        </w:rPr>
      </w:pPr>
    </w:p>
    <w:p w14:paraId="240D9633" w14:textId="214268EC" w:rsidR="00610151" w:rsidRDefault="00B37AA1" w:rsidP="0085649C">
      <w:pPr>
        <w:spacing w:after="0" w:line="240" w:lineRule="auto"/>
        <w:rPr>
          <w:rFonts w:ascii="Segoe UI" w:eastAsia="Quattrocento Sans" w:hAnsi="Segoe UI" w:cs="Segoe UI"/>
          <w:b/>
          <w:lang w:val="en-US"/>
        </w:rPr>
      </w:pPr>
      <w:r>
        <w:rPr>
          <w:rFonts w:ascii="Segoe UI" w:eastAsia="Quattrocento Sans" w:hAnsi="Segoe UI" w:cs="Segoe UI"/>
          <w:b/>
          <w:lang w:val="en-US"/>
        </w:rPr>
        <w:t>Bibliografi</w:t>
      </w:r>
    </w:p>
    <w:p w14:paraId="58AA8C02" w14:textId="77777777" w:rsidR="0085649C" w:rsidRPr="00765330" w:rsidRDefault="0085649C" w:rsidP="0085649C">
      <w:pPr>
        <w:spacing w:after="0" w:line="240" w:lineRule="auto"/>
        <w:rPr>
          <w:rFonts w:ascii="Segoe UI" w:eastAsia="Quattrocento Sans" w:hAnsi="Segoe UI" w:cs="Segoe UI"/>
          <w:b/>
          <w:lang w:val="en-US"/>
        </w:rPr>
      </w:pPr>
    </w:p>
    <w:p w14:paraId="3847F686" w14:textId="77777777" w:rsidR="00610151" w:rsidRPr="00765330" w:rsidRDefault="00000000" w:rsidP="0085649C">
      <w:pPr>
        <w:spacing w:after="0" w:line="240" w:lineRule="auto"/>
        <w:ind w:left="720" w:hanging="720"/>
        <w:jc w:val="both"/>
        <w:rPr>
          <w:rFonts w:ascii="Segoe UI" w:eastAsia="Quattrocento Sans" w:hAnsi="Segoe UI" w:cs="Segoe UI"/>
          <w:lang w:val="en-US"/>
        </w:rPr>
      </w:pPr>
      <w:r w:rsidRPr="00765330">
        <w:rPr>
          <w:rFonts w:ascii="Segoe UI" w:eastAsia="Quattrocento Sans" w:hAnsi="Segoe UI" w:cs="Segoe UI"/>
          <w:lang w:val="en-US"/>
        </w:rPr>
        <w:t xml:space="preserve">Bujuri, D. A. (2018). Analisis Perkembangan Kognitif Anak Usia Dasar dan Implikasinya dalam Kegiatan Belajar Mengajar. Jurnal Ilmu Pendidikan. 9(1): 37. </w:t>
      </w:r>
      <w:hyperlink r:id="rId11">
        <w:r w:rsidR="00610151" w:rsidRPr="00765330">
          <w:rPr>
            <w:rFonts w:ascii="Segoe UI" w:eastAsia="Quattrocento Sans" w:hAnsi="Segoe UI" w:cs="Segoe UI"/>
            <w:color w:val="0000FF"/>
            <w:u w:val="single"/>
            <w:lang w:val="en-US"/>
          </w:rPr>
          <w:t>https://doi.org/10.21927/literasi.2018.9(1).37-50</w:t>
        </w:r>
      </w:hyperlink>
    </w:p>
    <w:p w14:paraId="3BC93DE9" w14:textId="77777777" w:rsidR="00610151" w:rsidRPr="00765330" w:rsidRDefault="00000000" w:rsidP="0085649C">
      <w:pPr>
        <w:spacing w:after="0" w:line="240" w:lineRule="auto"/>
        <w:ind w:left="720" w:hanging="720"/>
        <w:jc w:val="both"/>
        <w:rPr>
          <w:rFonts w:ascii="Segoe UI" w:eastAsia="Quattrocento Sans" w:hAnsi="Segoe UI" w:cs="Segoe UI"/>
          <w:lang w:val="en-US"/>
        </w:rPr>
      </w:pPr>
      <w:r w:rsidRPr="00765330">
        <w:rPr>
          <w:rFonts w:ascii="Segoe UI" w:eastAsia="Quattrocento Sans" w:hAnsi="Segoe UI" w:cs="Segoe UI"/>
          <w:lang w:val="en-US"/>
        </w:rPr>
        <w:t>Desi, Y. (2018). Gambaran Tingkat Pengetahuan Ibu Tentang Karies Gigi Dengan Perilaku Ibu Merawat Kesehatan Gigi Pada Anak Usia Prasekolah Di TK Aba Dadapan Godean (KTI). Yogyakarta Poltekes Kemenkes Yogyakarta.</w:t>
      </w:r>
    </w:p>
    <w:p w14:paraId="3258D535" w14:textId="77777777" w:rsidR="00610151" w:rsidRPr="00765330" w:rsidRDefault="00000000" w:rsidP="0085649C">
      <w:pPr>
        <w:spacing w:after="0" w:line="240" w:lineRule="auto"/>
        <w:ind w:left="720" w:hanging="720"/>
        <w:jc w:val="both"/>
        <w:rPr>
          <w:rFonts w:ascii="Segoe UI" w:eastAsia="Quattrocento Sans" w:hAnsi="Segoe UI" w:cs="Segoe UI"/>
        </w:rPr>
      </w:pPr>
      <w:r w:rsidRPr="00765330">
        <w:rPr>
          <w:rFonts w:ascii="Segoe UI" w:eastAsia="Quattrocento Sans" w:hAnsi="Segoe UI" w:cs="Segoe UI"/>
          <w:lang w:val="en-US"/>
        </w:rPr>
        <w:t xml:space="preserve">Djamil, S.M. (2011). A-Z Kesehatan Gigi Panduan Lengkap Kesehatan Gigi Keluarga. </w:t>
      </w:r>
      <w:r w:rsidRPr="00765330">
        <w:rPr>
          <w:rFonts w:ascii="Segoe UI" w:eastAsia="Quattrocento Sans" w:hAnsi="Segoe UI" w:cs="Segoe UI"/>
        </w:rPr>
        <w:t>Solo: Tiga Serangkai Pustaka Mandiri.</w:t>
      </w:r>
    </w:p>
    <w:p w14:paraId="14F829A0" w14:textId="77777777" w:rsidR="00610151" w:rsidRPr="00765330" w:rsidRDefault="00000000" w:rsidP="0085649C">
      <w:pPr>
        <w:spacing w:after="0" w:line="240" w:lineRule="auto"/>
        <w:ind w:left="720" w:hanging="720"/>
        <w:jc w:val="both"/>
        <w:rPr>
          <w:rFonts w:ascii="Segoe UI" w:eastAsia="Quattrocento Sans" w:hAnsi="Segoe UI" w:cs="Segoe UI"/>
          <w:lang w:val="en-US"/>
        </w:rPr>
      </w:pPr>
      <w:r w:rsidRPr="00765330">
        <w:rPr>
          <w:rFonts w:ascii="Segoe UI" w:eastAsia="Quattrocento Sans" w:hAnsi="Segoe UI" w:cs="Segoe UI"/>
        </w:rPr>
        <w:t xml:space="preserve">Gayatri, &amp; Mardianto. (2016). Gambaran Status Karies Gigi Anak Sekolah Dasar Kota Malang. </w:t>
      </w:r>
      <w:r w:rsidRPr="00765330">
        <w:rPr>
          <w:rFonts w:ascii="Segoe UI" w:eastAsia="Quattrocento Sans" w:hAnsi="Segoe UI" w:cs="Segoe UI"/>
          <w:lang w:val="en-US"/>
        </w:rPr>
        <w:t>Jurnal Preventia, Vol 1 No 1 Juni 2016. Diunduh tanggal 3 November 2018.</w:t>
      </w:r>
    </w:p>
    <w:p w14:paraId="0F618AA9" w14:textId="77777777" w:rsidR="00610151" w:rsidRPr="00765330" w:rsidRDefault="00000000" w:rsidP="0085649C">
      <w:pPr>
        <w:spacing w:after="0" w:line="240" w:lineRule="auto"/>
        <w:ind w:left="720" w:hanging="720"/>
        <w:jc w:val="both"/>
        <w:rPr>
          <w:rFonts w:ascii="Segoe UI" w:eastAsia="Quattrocento Sans" w:hAnsi="Segoe UI" w:cs="Segoe UI"/>
        </w:rPr>
      </w:pPr>
      <w:r w:rsidRPr="00765330">
        <w:rPr>
          <w:rFonts w:ascii="Segoe UI" w:eastAsia="Quattrocento Sans" w:hAnsi="Segoe UI" w:cs="Segoe UI"/>
          <w:lang w:val="en-US"/>
        </w:rPr>
        <w:t xml:space="preserve">Heni, Listiana dan Tesya Cahyani Kusuma. 2021. Pengembangan Pembuatan APE bagi Anak Usia Dini. </w:t>
      </w:r>
      <w:r w:rsidRPr="00765330">
        <w:rPr>
          <w:rFonts w:ascii="Segoe UI" w:eastAsia="Quattrocento Sans" w:hAnsi="Segoe UI" w:cs="Segoe UI"/>
        </w:rPr>
        <w:t>Jakarta: Kencana Prenada Media Group.</w:t>
      </w:r>
    </w:p>
    <w:p w14:paraId="2C113D54" w14:textId="77777777" w:rsidR="00610151" w:rsidRPr="00765330" w:rsidRDefault="00000000" w:rsidP="0085649C">
      <w:pPr>
        <w:spacing w:after="0" w:line="240" w:lineRule="auto"/>
        <w:jc w:val="both"/>
        <w:rPr>
          <w:rFonts w:ascii="Segoe UI" w:eastAsia="Quattrocento Sans" w:hAnsi="Segoe UI" w:cs="Segoe UI"/>
        </w:rPr>
      </w:pPr>
      <w:r w:rsidRPr="00765330">
        <w:rPr>
          <w:rFonts w:ascii="Segoe UI" w:eastAsia="Quattrocento Sans" w:hAnsi="Segoe UI" w:cs="Segoe UI"/>
        </w:rPr>
        <w:t>Hermawan, R. (2010). Menyehatkan Daerah Mulut. Yogyakarta: Buku Biru.</w:t>
      </w:r>
    </w:p>
    <w:p w14:paraId="2C6A8161" w14:textId="77777777" w:rsidR="00610151" w:rsidRPr="00765330" w:rsidRDefault="00000000" w:rsidP="0085649C">
      <w:pPr>
        <w:spacing w:after="0" w:line="240" w:lineRule="auto"/>
        <w:ind w:left="720" w:hanging="720"/>
        <w:jc w:val="both"/>
        <w:rPr>
          <w:rFonts w:ascii="Segoe UI" w:eastAsia="Quattrocento Sans" w:hAnsi="Segoe UI" w:cs="Segoe UI"/>
        </w:rPr>
      </w:pPr>
      <w:r w:rsidRPr="00765330">
        <w:rPr>
          <w:rFonts w:ascii="Segoe UI" w:eastAsia="Quattrocento Sans" w:hAnsi="Segoe UI" w:cs="Segoe UI"/>
        </w:rPr>
        <w:t>Indah, F. P. S., Ratnaningtyas, T. O., Pratiwi, R. D., Listiana, I., &amp; Alyumah, D. (2021). Efektivitas edukasi kesehatan menggunakan permainan tebak gambar dan audiovisual terhadap pemahaman kesehatan gigi dan mulut. Holistik Jurnal Kesehatan, 15(1), 102-109.</w:t>
      </w:r>
    </w:p>
    <w:p w14:paraId="0CF2331E" w14:textId="77777777" w:rsidR="00610151" w:rsidRPr="00765330" w:rsidRDefault="00000000" w:rsidP="0085649C">
      <w:pPr>
        <w:spacing w:after="0" w:line="240" w:lineRule="auto"/>
        <w:ind w:left="720" w:hanging="720"/>
        <w:jc w:val="both"/>
        <w:rPr>
          <w:rFonts w:ascii="Segoe UI" w:eastAsia="Quattrocento Sans" w:hAnsi="Segoe UI" w:cs="Segoe UI"/>
        </w:rPr>
      </w:pPr>
      <w:r w:rsidRPr="00765330">
        <w:rPr>
          <w:rFonts w:ascii="Segoe UI" w:eastAsia="Quattrocento Sans" w:hAnsi="Segoe UI" w:cs="Segoe UI"/>
        </w:rPr>
        <w:t>Kementerian Kesehatan RI. (2011). Pedoman Pembinaan Perilaku Hidup Bersih dan Sehat (PHBS). Jakarta: Kementerian Kesehatan RI.</w:t>
      </w:r>
    </w:p>
    <w:p w14:paraId="429FC750" w14:textId="77777777" w:rsidR="00610151" w:rsidRPr="00765330" w:rsidRDefault="00000000" w:rsidP="0085649C">
      <w:pPr>
        <w:spacing w:after="0" w:line="240" w:lineRule="auto"/>
        <w:ind w:left="720" w:hanging="720"/>
        <w:jc w:val="both"/>
        <w:rPr>
          <w:rFonts w:ascii="Segoe UI" w:eastAsia="Quattrocento Sans" w:hAnsi="Segoe UI" w:cs="Segoe UI"/>
        </w:rPr>
      </w:pPr>
      <w:r w:rsidRPr="00765330">
        <w:rPr>
          <w:rFonts w:ascii="Segoe UI" w:eastAsia="Quattrocento Sans" w:hAnsi="Segoe UI" w:cs="Segoe UI"/>
        </w:rPr>
        <w:t>Khotimah, S. (2014). Pengetahuan Ibu Tentang Kesehatan Gigi dan Mulut Dengan Jumlah Karies Gigi Pada Anak Usia Pra Sekolah Kecamatan Panjatan Kabupaten Kulonprogo (KTI). Yogyakarta: Poltekkes Kemenkes Yogyakart</w:t>
      </w:r>
    </w:p>
    <w:p w14:paraId="06AE117F" w14:textId="77777777" w:rsidR="00610151" w:rsidRPr="00765330" w:rsidRDefault="00000000" w:rsidP="0085649C">
      <w:pPr>
        <w:spacing w:after="0" w:line="240" w:lineRule="auto"/>
        <w:jc w:val="both"/>
        <w:rPr>
          <w:rFonts w:ascii="Segoe UI" w:eastAsia="Quattrocento Sans" w:hAnsi="Segoe UI" w:cs="Segoe UI"/>
        </w:rPr>
      </w:pPr>
      <w:r w:rsidRPr="00765330">
        <w:rPr>
          <w:rFonts w:ascii="Segoe UI" w:eastAsia="Quattrocento Sans" w:hAnsi="Segoe UI" w:cs="Segoe UI"/>
        </w:rPr>
        <w:t xml:space="preserve">Notoatmodjo.S. (2018). Metodologi Penelitian Kesehatan. Jakarta: Rineka Cipta </w:t>
      </w:r>
    </w:p>
    <w:p w14:paraId="5EE1E8E9" w14:textId="77777777" w:rsidR="00610151" w:rsidRPr="00765330" w:rsidRDefault="00000000" w:rsidP="0085649C">
      <w:pPr>
        <w:spacing w:after="0" w:line="240" w:lineRule="auto"/>
        <w:ind w:left="720" w:hanging="720"/>
        <w:jc w:val="both"/>
        <w:rPr>
          <w:rFonts w:ascii="Segoe UI" w:eastAsia="Quattrocento Sans" w:hAnsi="Segoe UI" w:cs="Segoe UI"/>
        </w:rPr>
      </w:pPr>
      <w:r w:rsidRPr="00765330">
        <w:rPr>
          <w:rFonts w:ascii="Segoe UI" w:eastAsia="Quattrocento Sans" w:hAnsi="Segoe UI" w:cs="Segoe UI"/>
        </w:rPr>
        <w:t>Puspaningtyas, L.M. (2017). Gambaran Tingkat Pengetahuan Ibu Tetang Kesehatan Gigi dan Mulut dan Jumlah Karies Gigi Pada Siswa Taman Kanak-kanak ABA Sutopadan Kasihan Bantul (KTI). Yogyakarta: Poltekkes Kemenkes Yogyakarta</w:t>
      </w:r>
    </w:p>
    <w:p w14:paraId="1BB12031" w14:textId="77777777" w:rsidR="00610151" w:rsidRPr="00765330" w:rsidRDefault="00000000" w:rsidP="0085649C">
      <w:pPr>
        <w:spacing w:after="0" w:line="240" w:lineRule="auto"/>
        <w:ind w:left="720" w:hanging="720"/>
        <w:jc w:val="both"/>
        <w:rPr>
          <w:rFonts w:ascii="Segoe UI" w:eastAsia="Quattrocento Sans" w:hAnsi="Segoe UI" w:cs="Segoe UI"/>
        </w:rPr>
      </w:pPr>
      <w:r w:rsidRPr="00765330">
        <w:rPr>
          <w:rFonts w:ascii="Segoe UI" w:eastAsia="Quattrocento Sans" w:hAnsi="Segoe UI" w:cs="Segoe UI"/>
        </w:rPr>
        <w:t>Ramadhan, A.G. (2010). Serba Serbi Kesehatan Gigi dan Mulut. Jakarta: Bukune.</w:t>
      </w:r>
    </w:p>
    <w:p w14:paraId="752CC0B4" w14:textId="77777777" w:rsidR="00610151" w:rsidRPr="00765330" w:rsidRDefault="00000000" w:rsidP="0085649C">
      <w:pPr>
        <w:spacing w:after="0" w:line="240" w:lineRule="auto"/>
        <w:ind w:left="720" w:hanging="720"/>
        <w:jc w:val="both"/>
        <w:rPr>
          <w:rFonts w:ascii="Segoe UI" w:eastAsia="Quattrocento Sans" w:hAnsi="Segoe UI" w:cs="Segoe UI"/>
        </w:rPr>
      </w:pPr>
      <w:r w:rsidRPr="00765330">
        <w:rPr>
          <w:rFonts w:ascii="Segoe UI" w:eastAsia="Quattrocento Sans" w:hAnsi="Segoe UI" w:cs="Segoe UI"/>
        </w:rPr>
        <w:t>Sariningsih, E. (2020). Merawat Gigi Anak Sejak Usia Dini. Jakarta; Alex Media Kompetindo.</w:t>
      </w:r>
    </w:p>
    <w:p w14:paraId="50E9AF7A" w14:textId="77777777" w:rsidR="00610151" w:rsidRPr="00765330" w:rsidRDefault="00000000" w:rsidP="0085649C">
      <w:pPr>
        <w:spacing w:after="0" w:line="240" w:lineRule="auto"/>
        <w:ind w:left="720" w:hanging="720"/>
        <w:jc w:val="both"/>
        <w:rPr>
          <w:rFonts w:ascii="Segoe UI" w:eastAsia="Quattrocento Sans" w:hAnsi="Segoe UI" w:cs="Segoe UI"/>
        </w:rPr>
      </w:pPr>
      <w:r w:rsidRPr="00765330">
        <w:rPr>
          <w:rFonts w:ascii="Segoe UI" w:eastAsia="Quattrocento Sans" w:hAnsi="Segoe UI" w:cs="Segoe UI"/>
        </w:rPr>
        <w:lastRenderedPageBreak/>
        <w:t>Yayasan Lembaga Konsumen Indonesia, 2012 “Kemanan mainan edukasi anak yang beredar di pasaran”. Diakses pada 18 Agustus 2021 tersedia pada http://ylki.or.id/2012/01 keamanan-mainan-edukasi-anak-yangberedar-di-pasaran/</w:t>
      </w:r>
    </w:p>
    <w:p w14:paraId="2FFDBF5A" w14:textId="77777777" w:rsidR="00610151" w:rsidRPr="00765330" w:rsidRDefault="00610151" w:rsidP="0085649C">
      <w:pPr>
        <w:spacing w:after="0" w:line="240" w:lineRule="auto"/>
        <w:ind w:firstLine="720"/>
        <w:jc w:val="both"/>
        <w:rPr>
          <w:rFonts w:ascii="Segoe UI" w:eastAsia="Quattrocento Sans" w:hAnsi="Segoe UI" w:cs="Segoe UI"/>
        </w:rPr>
      </w:pPr>
    </w:p>
    <w:sectPr w:rsidR="00610151" w:rsidRPr="00765330" w:rsidSect="00765330">
      <w:headerReference w:type="default" r:id="rId12"/>
      <w:footerReference w:type="default" r:id="rId13"/>
      <w:headerReference w:type="first" r:id="rId14"/>
      <w:footerReference w:type="first" r:id="rId15"/>
      <w:pgSz w:w="11907" w:h="16839"/>
      <w:pgMar w:top="1440" w:right="1440" w:bottom="1440" w:left="1440" w:header="708" w:footer="708" w:gutter="0"/>
      <w:pgNumType w:start="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ABC0E" w14:textId="77777777" w:rsidR="001C5CE8" w:rsidRDefault="001C5CE8">
      <w:pPr>
        <w:spacing w:after="0" w:line="240" w:lineRule="auto"/>
      </w:pPr>
      <w:r>
        <w:separator/>
      </w:r>
    </w:p>
  </w:endnote>
  <w:endnote w:type="continuationSeparator" w:id="0">
    <w:p w14:paraId="2C727B84" w14:textId="77777777" w:rsidR="001C5CE8" w:rsidRDefault="001C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83D94" w14:textId="77777777" w:rsidR="00610151" w:rsidRDefault="00000000" w:rsidP="00517F09">
    <w:pPr>
      <w:pBdr>
        <w:top w:val="nil"/>
        <w:left w:val="nil"/>
        <w:bottom w:val="nil"/>
        <w:right w:val="nil"/>
        <w:between w:val="nil"/>
      </w:pBdr>
      <w:tabs>
        <w:tab w:val="center" w:pos="4253"/>
        <w:tab w:val="right" w:pos="9360"/>
        <w:tab w:val="left" w:pos="5310"/>
        <w:tab w:val="right" w:pos="9027"/>
      </w:tabs>
      <w:spacing w:after="0" w:line="240" w:lineRule="auto"/>
      <w:jc w:val="right"/>
      <w:rPr>
        <w:i/>
        <w:color w:val="000000"/>
        <w:sz w:val="18"/>
        <w:szCs w:val="18"/>
      </w:rPr>
    </w:pPr>
    <w:r>
      <w:rPr>
        <w:i/>
        <w:color w:val="000000"/>
        <w:sz w:val="18"/>
        <w:szCs w:val="18"/>
      </w:rPr>
      <w:tab/>
    </w:r>
    <w:r>
      <w:rPr>
        <w:i/>
        <w:color w:val="000000"/>
        <w:sz w:val="18"/>
        <w:szCs w:val="18"/>
      </w:rPr>
      <w:tab/>
    </w:r>
    <m:oMath>
      <m:r>
        <w:rPr>
          <w:rFonts w:ascii="Cambria Math" w:hAnsi="Cambria Math"/>
          <w:color w:val="000000"/>
        </w:rPr>
        <m:t>〈</m:t>
      </m:r>
      <m:r>
        <w:rPr>
          <w:rFonts w:ascii="Cambria Math" w:eastAsia="Cambria Math" w:hAnsi="Cambria Math" w:cs="Cambria Math"/>
          <w:color w:val="000000"/>
          <w:sz w:val="18"/>
          <w:szCs w:val="18"/>
        </w:rPr>
        <m:t>Mapalus Nursing Science Journal, ISSN 3026-1198</m:t>
      </m:r>
      <m:r>
        <w:rPr>
          <w:rFonts w:ascii="Cambria Math" w:hAnsi="Cambria Math"/>
          <w:color w:val="000000"/>
        </w:rPr>
        <m:t>〉</m:t>
      </m:r>
    </m:oMath>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542BA" w14:textId="5D833CA0" w:rsidR="005245BD" w:rsidRDefault="005245BD">
    <w:pPr>
      <w:pStyle w:val="Footer"/>
      <w:jc w:val="right"/>
    </w:pPr>
  </w:p>
  <w:p w14:paraId="55F67361" w14:textId="77777777" w:rsidR="005245BD" w:rsidRDefault="00524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48C80" w14:textId="77777777" w:rsidR="001C5CE8" w:rsidRDefault="001C5CE8">
      <w:pPr>
        <w:spacing w:after="0" w:line="240" w:lineRule="auto"/>
      </w:pPr>
      <w:r>
        <w:separator/>
      </w:r>
    </w:p>
  </w:footnote>
  <w:footnote w:type="continuationSeparator" w:id="0">
    <w:p w14:paraId="5C2580CB" w14:textId="77777777" w:rsidR="001C5CE8" w:rsidRDefault="001C5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0F8C5" w14:textId="77777777" w:rsidR="00610151" w:rsidRDefault="00000000">
    <w:pPr>
      <w:pBdr>
        <w:top w:val="nil"/>
        <w:left w:val="nil"/>
        <w:bottom w:val="single" w:sz="4" w:space="1" w:color="D9D9D9"/>
        <w:right w:val="nil"/>
        <w:between w:val="nil"/>
      </w:pBdr>
      <w:tabs>
        <w:tab w:val="center" w:pos="4680"/>
        <w:tab w:val="right" w:pos="9360"/>
      </w:tabs>
      <w:spacing w:after="0" w:line="240" w:lineRule="auto"/>
      <w:jc w:val="right"/>
      <w:rPr>
        <w:rFonts w:ascii="Gill Sans" w:eastAsia="Gill Sans" w:hAnsi="Gill Sans" w:cs="Gill Sans"/>
        <w:b/>
        <w:color w:val="000000"/>
        <w:sz w:val="18"/>
        <w:szCs w:val="18"/>
      </w:rPr>
    </w:pPr>
    <w:r>
      <w:rPr>
        <w:rFonts w:ascii="Gill Sans" w:eastAsia="Gill Sans" w:hAnsi="Gill Sans" w:cs="Gill Sans"/>
        <w:color w:val="000000"/>
        <w:sz w:val="18"/>
        <w:szCs w:val="18"/>
      </w:rPr>
      <w:fldChar w:fldCharType="begin"/>
    </w:r>
    <w:r>
      <w:rPr>
        <w:rFonts w:ascii="Gill Sans" w:eastAsia="Gill Sans" w:hAnsi="Gill Sans" w:cs="Gill Sans"/>
        <w:color w:val="000000"/>
        <w:sz w:val="18"/>
        <w:szCs w:val="18"/>
      </w:rPr>
      <w:instrText>PAGE</w:instrText>
    </w:r>
    <w:r>
      <w:rPr>
        <w:rFonts w:ascii="Gill Sans" w:eastAsia="Gill Sans" w:hAnsi="Gill Sans" w:cs="Gill Sans"/>
        <w:color w:val="000000"/>
        <w:sz w:val="18"/>
        <w:szCs w:val="18"/>
      </w:rPr>
      <w:fldChar w:fldCharType="separate"/>
    </w:r>
    <w:r w:rsidR="00260F69">
      <w:rPr>
        <w:rFonts w:ascii="Gill Sans" w:eastAsia="Gill Sans" w:hAnsi="Gill Sans" w:cs="Gill Sans"/>
        <w:noProof/>
        <w:color w:val="000000"/>
        <w:sz w:val="18"/>
        <w:szCs w:val="18"/>
      </w:rPr>
      <w:t>2</w:t>
    </w:r>
    <w:r>
      <w:rPr>
        <w:rFonts w:ascii="Gill Sans" w:eastAsia="Gill Sans" w:hAnsi="Gill Sans" w:cs="Gill Sans"/>
        <w:color w:val="000000"/>
        <w:sz w:val="18"/>
        <w:szCs w:val="18"/>
      </w:rPr>
      <w:fldChar w:fldCharType="end"/>
    </w:r>
    <w:r>
      <w:rPr>
        <w:rFonts w:ascii="Gill Sans" w:eastAsia="Gill Sans" w:hAnsi="Gill Sans" w:cs="Gill Sans"/>
        <w:b/>
        <w:color w:val="000000"/>
        <w:sz w:val="18"/>
        <w:szCs w:val="18"/>
      </w:rPr>
      <w:t xml:space="preserve"> | </w:t>
    </w:r>
    <w:r>
      <w:rPr>
        <w:rFonts w:ascii="Gill Sans" w:eastAsia="Gill Sans" w:hAnsi="Gill Sans" w:cs="Gill Sans"/>
        <w:color w:val="808080"/>
        <w:sz w:val="18"/>
        <w:szCs w:val="18"/>
      </w:rPr>
      <w:t>Page</w:t>
    </w:r>
  </w:p>
  <w:p w14:paraId="6F54850A" w14:textId="1FAA97EF" w:rsidR="00610151" w:rsidRDefault="00517F09">
    <w:pPr>
      <w:pBdr>
        <w:top w:val="nil"/>
        <w:left w:val="nil"/>
        <w:bottom w:val="nil"/>
        <w:right w:val="nil"/>
        <w:between w:val="nil"/>
      </w:pBdr>
      <w:tabs>
        <w:tab w:val="center" w:pos="4680"/>
        <w:tab w:val="right" w:pos="9360"/>
      </w:tabs>
      <w:spacing w:after="0" w:line="240" w:lineRule="auto"/>
      <w:rPr>
        <w:i/>
        <w:color w:val="000000"/>
        <w:sz w:val="20"/>
        <w:szCs w:val="20"/>
      </w:rPr>
    </w:pPr>
    <w:r>
      <w:rPr>
        <w:i/>
        <w:color w:val="000000"/>
        <w:sz w:val="20"/>
        <w:szCs w:val="20"/>
      </w:rPr>
      <w:t xml:space="preserve">Santi et 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79DC" w14:textId="77777777" w:rsidR="00610151" w:rsidRPr="00260F69" w:rsidRDefault="00000000">
    <w:pPr>
      <w:pBdr>
        <w:top w:val="nil"/>
        <w:left w:val="nil"/>
        <w:bottom w:val="nil"/>
        <w:right w:val="nil"/>
        <w:between w:val="nil"/>
      </w:pBdr>
      <w:tabs>
        <w:tab w:val="center" w:pos="4680"/>
        <w:tab w:val="right" w:pos="9360"/>
      </w:tabs>
      <w:spacing w:after="0" w:line="240" w:lineRule="auto"/>
      <w:rPr>
        <w:color w:val="000000"/>
        <w:lang w:val="en-US"/>
      </w:rPr>
    </w:pPr>
    <w:r w:rsidRPr="00260F69">
      <w:rPr>
        <w:color w:val="000000"/>
        <w:lang w:val="en-US"/>
      </w:rPr>
      <w:t xml:space="preserve">                         Mapalus Nursing Science Journal: Jurnal Ilmiah Keperawatan Mapalus</w:t>
    </w:r>
    <w:r>
      <w:rPr>
        <w:noProof/>
      </w:rPr>
      <w:drawing>
        <wp:anchor distT="0" distB="0" distL="114300" distR="114300" simplePos="0" relativeHeight="251658240" behindDoc="0" locked="0" layoutInCell="1" hidden="0" allowOverlap="1" wp14:anchorId="6A6A53B3" wp14:editId="0C19F5E3">
          <wp:simplePos x="0" y="0"/>
          <wp:positionH relativeFrom="column">
            <wp:posOffset>-32381</wp:posOffset>
          </wp:positionH>
          <wp:positionV relativeFrom="paragraph">
            <wp:posOffset>-297176</wp:posOffset>
          </wp:positionV>
          <wp:extent cx="805180" cy="764515"/>
          <wp:effectExtent l="0" t="0" r="0" b="0"/>
          <wp:wrapNone/>
          <wp:docPr id="4" name="image3.png" descr="C:\Users\LENOVO\Downloads\Black___White_Minimalist_Aesthetic_Initials_Font_Logo-removebg-preview.png"/>
          <wp:cNvGraphicFramePr/>
          <a:graphic xmlns:a="http://schemas.openxmlformats.org/drawingml/2006/main">
            <a:graphicData uri="http://schemas.openxmlformats.org/drawingml/2006/picture">
              <pic:pic xmlns:pic="http://schemas.openxmlformats.org/drawingml/2006/picture">
                <pic:nvPicPr>
                  <pic:cNvPr id="0" name="image3.png" descr="C:\Users\LENOVO\Downloads\Black___White_Minimalist_Aesthetic_Initials_Font_Logo-removebg-preview.png"/>
                  <pic:cNvPicPr preferRelativeResize="0"/>
                </pic:nvPicPr>
                <pic:blipFill>
                  <a:blip r:embed="rId1"/>
                  <a:srcRect l="14200" t="20202" r="26401" b="23398"/>
                  <a:stretch>
                    <a:fillRect/>
                  </a:stretch>
                </pic:blipFill>
                <pic:spPr>
                  <a:xfrm>
                    <a:off x="0" y="0"/>
                    <a:ext cx="805180" cy="764515"/>
                  </a:xfrm>
                  <a:prstGeom prst="rect">
                    <a:avLst/>
                  </a:prstGeom>
                  <a:ln/>
                </pic:spPr>
              </pic:pic>
            </a:graphicData>
          </a:graphic>
        </wp:anchor>
      </w:drawing>
    </w:r>
  </w:p>
  <w:p w14:paraId="098F98D5" w14:textId="77777777" w:rsidR="00610151" w:rsidRDefault="00000000">
    <w:pPr>
      <w:pBdr>
        <w:top w:val="nil"/>
        <w:left w:val="nil"/>
        <w:bottom w:val="nil"/>
        <w:right w:val="nil"/>
        <w:between w:val="nil"/>
      </w:pBdr>
      <w:tabs>
        <w:tab w:val="center" w:pos="4680"/>
        <w:tab w:val="right" w:pos="9360"/>
      </w:tabs>
      <w:spacing w:after="0" w:line="240" w:lineRule="auto"/>
      <w:rPr>
        <w:color w:val="000000"/>
      </w:rPr>
    </w:pPr>
    <w:r w:rsidRPr="00260F69">
      <w:rPr>
        <w:color w:val="000000"/>
        <w:lang w:val="en-US"/>
      </w:rPr>
      <w:t xml:space="preserve">                         </w:t>
    </w:r>
    <w:r>
      <w:rPr>
        <w:color w:val="000000"/>
      </w:rPr>
      <w:t xml:space="preserve">ISSN 3026-1198. </w:t>
    </w:r>
  </w:p>
  <w:p w14:paraId="64E6E7C9" w14:textId="6E7C9C56" w:rsidR="0061015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                         Vol.</w:t>
    </w:r>
    <w:r w:rsidR="005245BD">
      <w:rPr>
        <w:color w:val="000000"/>
      </w:rPr>
      <w:t xml:space="preserve"> 03</w:t>
    </w:r>
    <w:r>
      <w:rPr>
        <w:color w:val="000000"/>
      </w:rPr>
      <w:t xml:space="preserve"> No.</w:t>
    </w:r>
    <w:r w:rsidR="005245BD">
      <w:rPr>
        <w:color w:val="000000"/>
      </w:rPr>
      <w:t>01</w:t>
    </w:r>
    <w:r>
      <w:rPr>
        <w:color w:val="000000"/>
      </w:rPr>
      <w:t>, 202</w:t>
    </w:r>
    <w:r w:rsidR="005245BD">
      <w:rPr>
        <w:color w:val="000000"/>
      </w:rPr>
      <w:t>5</w:t>
    </w:r>
    <w:r>
      <w:rPr>
        <w:color w:val="000000"/>
      </w:rPr>
      <w:t>. Hal. 0</w:t>
    </w:r>
    <w:r w:rsidR="00500CDC">
      <w:rPr>
        <w:color w:val="000000"/>
      </w:rPr>
      <w:t>9</w:t>
    </w:r>
    <w:r>
      <w:rPr>
        <w:color w:val="000000"/>
      </w:rPr>
      <w:t>-</w:t>
    </w:r>
    <w:r>
      <w:rPr>
        <w:noProof/>
      </w:rPr>
      <mc:AlternateContent>
        <mc:Choice Requires="wps">
          <w:drawing>
            <wp:anchor distT="0" distB="0" distL="114300" distR="114300" simplePos="0" relativeHeight="251659264" behindDoc="0" locked="0" layoutInCell="1" hidden="0" allowOverlap="1" wp14:anchorId="5AFAC29B" wp14:editId="6108968A">
              <wp:simplePos x="0" y="0"/>
              <wp:positionH relativeFrom="column">
                <wp:posOffset>-40001</wp:posOffset>
              </wp:positionH>
              <wp:positionV relativeFrom="paragraph">
                <wp:posOffset>174625</wp:posOffset>
              </wp:positionV>
              <wp:extent cx="5760000" cy="0"/>
              <wp:effectExtent l="0" t="0" r="31750" b="19050"/>
              <wp:wrapNone/>
              <wp:docPr id="1" name="Straight Connector 1"/>
              <wp:cNvGraphicFramePr/>
              <a:graphic xmlns:a="http://schemas.openxmlformats.org/drawingml/2006/main">
                <a:graphicData uri="http://schemas.microsoft.com/office/word/2010/wordprocessingShape">
                  <wps:wsp>
                    <wps:cNvCnPr/>
                    <wps:spPr>
                      <a:xfrm>
                        <a:off x="0" y="0"/>
                        <a:ext cx="5760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-40001</wp:posOffset>
              </wp:positionH>
              <wp:positionV relativeFrom="paragraph">
                <wp:posOffset>174625</wp:posOffset>
              </wp:positionV>
              <wp:extent cx="5791750" cy="19050"/>
              <wp:effectExtent b="0" l="0" r="0" t="0"/>
              <wp:wrapNone/>
              <wp:docPr id="1"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5791750" cy="19050"/>
                      </a:xfrm>
                      <a:prstGeom prst="rect"/>
                      <a:ln/>
                    </pic:spPr>
                  </pic:pic>
                </a:graphicData>
              </a:graphic>
            </wp:anchor>
          </w:drawing>
        </mc:Fallback>
      </mc:AlternateContent>
    </w:r>
    <w:r w:rsidR="00500CDC">
      <w:rPr>
        <w:color w:val="000000"/>
      </w:rPr>
      <w:t>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0A87"/>
    <w:multiLevelType w:val="hybridMultilevel"/>
    <w:tmpl w:val="EC0E521C"/>
    <w:lvl w:ilvl="0" w:tplc="8D187564">
      <w:start w:val="1"/>
      <w:numFmt w:val="decimal"/>
      <w:lvlText w:val="%1."/>
      <w:lvlJc w:val="left"/>
      <w:pPr>
        <w:ind w:left="720" w:hanging="360"/>
      </w:pPr>
      <w:rPr>
        <w:rFonts w:hint="default"/>
        <w:b/>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6A354A"/>
    <w:multiLevelType w:val="multilevel"/>
    <w:tmpl w:val="931E9114"/>
    <w:lvl w:ilvl="0">
      <w:start w:val="1"/>
      <w:numFmt w:val="decimal"/>
      <w:lvlText w:val="%1)"/>
      <w:lvlJc w:val="left"/>
      <w:pPr>
        <w:ind w:left="644" w:hanging="359"/>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0F393F06"/>
    <w:multiLevelType w:val="multilevel"/>
    <w:tmpl w:val="03DAFC42"/>
    <w:lvl w:ilvl="0">
      <w:start w:val="1"/>
      <w:numFmt w:val="decimal"/>
      <w:lvlText w:val="%1."/>
      <w:lvlJc w:val="left"/>
      <w:pPr>
        <w:ind w:left="644" w:hanging="359"/>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17B94663"/>
    <w:multiLevelType w:val="multilevel"/>
    <w:tmpl w:val="0F2A1E20"/>
    <w:lvl w:ilvl="0">
      <w:start w:val="1"/>
      <w:numFmt w:val="lowerLetter"/>
      <w:lvlText w:val="%1."/>
      <w:lvlJc w:val="left"/>
      <w:pPr>
        <w:ind w:left="578" w:hanging="360"/>
      </w:pPr>
      <w:rPr>
        <w:b/>
      </w:r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4" w15:restartNumberingAfterBreak="0">
    <w:nsid w:val="4267191F"/>
    <w:multiLevelType w:val="multilevel"/>
    <w:tmpl w:val="CBC039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AB08AA"/>
    <w:multiLevelType w:val="hybridMultilevel"/>
    <w:tmpl w:val="F3269C4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BA04323"/>
    <w:multiLevelType w:val="multilevel"/>
    <w:tmpl w:val="9642F332"/>
    <w:lvl w:ilvl="0">
      <w:start w:val="1"/>
      <w:numFmt w:val="lowerLetter"/>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num w:numId="1" w16cid:durableId="319310901">
    <w:abstractNumId w:val="4"/>
  </w:num>
  <w:num w:numId="2" w16cid:durableId="503282764">
    <w:abstractNumId w:val="3"/>
  </w:num>
  <w:num w:numId="3" w16cid:durableId="1603343557">
    <w:abstractNumId w:val="2"/>
  </w:num>
  <w:num w:numId="4" w16cid:durableId="1704086640">
    <w:abstractNumId w:val="6"/>
  </w:num>
  <w:num w:numId="5" w16cid:durableId="2123039054">
    <w:abstractNumId w:val="0"/>
  </w:num>
  <w:num w:numId="6" w16cid:durableId="153689642">
    <w:abstractNumId w:val="5"/>
  </w:num>
  <w:num w:numId="7" w16cid:durableId="104077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151"/>
    <w:rsid w:val="00040763"/>
    <w:rsid w:val="001C5CE8"/>
    <w:rsid w:val="00260F69"/>
    <w:rsid w:val="00500CDC"/>
    <w:rsid w:val="00517F09"/>
    <w:rsid w:val="005245BD"/>
    <w:rsid w:val="005279E8"/>
    <w:rsid w:val="0053142B"/>
    <w:rsid w:val="005A4CB7"/>
    <w:rsid w:val="00610151"/>
    <w:rsid w:val="006429C2"/>
    <w:rsid w:val="006D16BF"/>
    <w:rsid w:val="00765330"/>
    <w:rsid w:val="00792B16"/>
    <w:rsid w:val="007F3536"/>
    <w:rsid w:val="0085649C"/>
    <w:rsid w:val="00B37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68A76"/>
  <w15:docId w15:val="{369E9597-ABA8-4DAB-89A9-3FF84CE2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24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5BD"/>
  </w:style>
  <w:style w:type="paragraph" w:styleId="Footer">
    <w:name w:val="footer"/>
    <w:basedOn w:val="Normal"/>
    <w:link w:val="FooterChar"/>
    <w:uiPriority w:val="99"/>
    <w:unhideWhenUsed/>
    <w:rsid w:val="00524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5BD"/>
  </w:style>
  <w:style w:type="paragraph" w:styleId="ListParagraph">
    <w:name w:val="List Paragraph"/>
    <w:basedOn w:val="Normal"/>
    <w:uiPriority w:val="34"/>
    <w:qFormat/>
    <w:rsid w:val="007653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1927/literasi.2018.9(1).37-5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4373</Words>
  <Characters>24931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Khairun Nisa</cp:lastModifiedBy>
  <cp:revision>3</cp:revision>
  <dcterms:created xsi:type="dcterms:W3CDTF">2025-05-27T06:27:00Z</dcterms:created>
  <dcterms:modified xsi:type="dcterms:W3CDTF">2025-05-29T23:15:00Z</dcterms:modified>
</cp:coreProperties>
</file>