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AE" w:rsidRDefault="00DB64AE" w:rsidP="00C81872">
      <w:pPr>
        <w:spacing w:after="0" w:line="240" w:lineRule="auto"/>
        <w:jc w:val="center"/>
        <w:rPr>
          <w:rFonts w:eastAsia="Times New Roman" w:cs="Times New Roman"/>
          <w:b/>
          <w:sz w:val="24"/>
          <w:szCs w:val="24"/>
          <w:lang w:val="en-US"/>
        </w:rPr>
      </w:pPr>
      <w:r w:rsidRPr="00C81872">
        <w:rPr>
          <w:rFonts w:eastAsia="Times New Roman" w:cs="Times New Roman"/>
          <w:b/>
          <w:sz w:val="24"/>
          <w:szCs w:val="24"/>
        </w:rPr>
        <w:t>PERTANGGUNGJAWABAN SECARA PERDATA DARI BADAN USAHA PERTAMBANGAN TERHADAP PENCEMARAN LINGKUNGAN HIDUP</w:t>
      </w:r>
      <w:r w:rsidR="004B75D6">
        <w:rPr>
          <w:rStyle w:val="FootnoteReference"/>
          <w:rFonts w:eastAsia="Times New Roman" w:cs="Times New Roman"/>
          <w:b/>
          <w:sz w:val="24"/>
          <w:szCs w:val="24"/>
        </w:rPr>
        <w:footnoteReference w:id="1"/>
      </w:r>
    </w:p>
    <w:p w:rsidR="004B75D6" w:rsidRPr="004B75D6" w:rsidRDefault="004B75D6" w:rsidP="004B75D6">
      <w:pPr>
        <w:spacing w:after="0" w:line="240" w:lineRule="auto"/>
        <w:jc w:val="center"/>
        <w:rPr>
          <w:rFonts w:cs="Times New Roman"/>
          <w:sz w:val="24"/>
          <w:szCs w:val="24"/>
        </w:rPr>
      </w:pPr>
      <w:r w:rsidRPr="004B75D6">
        <w:rPr>
          <w:rFonts w:eastAsia="Times New Roman" w:cs="Times New Roman"/>
          <w:sz w:val="24"/>
          <w:szCs w:val="24"/>
          <w:lang w:val="en-US"/>
        </w:rPr>
        <w:t xml:space="preserve">Oleh: </w:t>
      </w:r>
      <w:r w:rsidRPr="004B75D6">
        <w:rPr>
          <w:rFonts w:cs="Times New Roman"/>
          <w:sz w:val="24"/>
          <w:szCs w:val="24"/>
        </w:rPr>
        <w:t>Gebriella Jacqueline Pondaag</w:t>
      </w:r>
      <w:r>
        <w:rPr>
          <w:rStyle w:val="FootnoteReference"/>
          <w:rFonts w:cs="Times New Roman"/>
          <w:sz w:val="24"/>
          <w:szCs w:val="24"/>
        </w:rPr>
        <w:footnoteReference w:id="2"/>
      </w:r>
    </w:p>
    <w:p w:rsidR="004B75D6" w:rsidRPr="004B75D6" w:rsidRDefault="004B75D6" w:rsidP="00C81872">
      <w:pPr>
        <w:spacing w:after="0" w:line="240" w:lineRule="auto"/>
        <w:jc w:val="center"/>
        <w:rPr>
          <w:rFonts w:eastAsia="Times New Roman" w:cs="Times New Roman"/>
          <w:b/>
          <w:sz w:val="24"/>
          <w:szCs w:val="24"/>
          <w:lang w:val="en-US"/>
        </w:rPr>
      </w:pPr>
    </w:p>
    <w:p w:rsidR="004B75D6" w:rsidRDefault="004B75D6" w:rsidP="00C81872">
      <w:pPr>
        <w:spacing w:after="0" w:line="240" w:lineRule="auto"/>
        <w:ind w:left="425" w:hanging="425"/>
        <w:jc w:val="center"/>
        <w:rPr>
          <w:rFonts w:eastAsia="Times New Roman" w:cs="Times New Roman"/>
          <w:b/>
          <w:bCs/>
          <w:sz w:val="24"/>
          <w:szCs w:val="24"/>
          <w:lang w:val="en-US"/>
        </w:rPr>
      </w:pPr>
      <w:r>
        <w:rPr>
          <w:rFonts w:eastAsia="Times New Roman" w:cs="Times New Roman"/>
          <w:b/>
          <w:bCs/>
          <w:sz w:val="24"/>
          <w:szCs w:val="24"/>
          <w:lang w:val="en-US"/>
        </w:rPr>
        <w:t>ABSTRAK</w:t>
      </w:r>
    </w:p>
    <w:p w:rsidR="00CA0B56" w:rsidRPr="00AF7597" w:rsidRDefault="004B75D6" w:rsidP="00CA0B56">
      <w:pPr>
        <w:spacing w:after="0" w:line="240" w:lineRule="auto"/>
        <w:jc w:val="both"/>
        <w:rPr>
          <w:rFonts w:eastAsia="Times New Roman" w:cs="Times New Roman"/>
          <w:sz w:val="24"/>
          <w:szCs w:val="24"/>
        </w:rPr>
      </w:pPr>
      <w:r>
        <w:rPr>
          <w:rFonts w:eastAsia="Times New Roman" w:cs="Times New Roman"/>
          <w:bCs/>
          <w:sz w:val="24"/>
          <w:szCs w:val="24"/>
          <w:lang w:val="en-US"/>
        </w:rPr>
        <w:t>Tujuan dilakukannya penelitian ini adalah untuk mengetahui</w:t>
      </w:r>
      <w:r w:rsidR="00FE3460">
        <w:rPr>
          <w:rFonts w:eastAsia="Times New Roman" w:cs="Times New Roman"/>
          <w:bCs/>
          <w:sz w:val="24"/>
          <w:szCs w:val="24"/>
          <w:lang w:val="en-US"/>
        </w:rPr>
        <w:t xml:space="preserve"> b</w:t>
      </w:r>
      <w:r w:rsidR="00FE3460" w:rsidRPr="00C81872">
        <w:rPr>
          <w:rFonts w:eastAsia="Times New Roman" w:cs="Times New Roman"/>
          <w:sz w:val="24"/>
          <w:szCs w:val="24"/>
        </w:rPr>
        <w:t>agaimana pertanggungjawaban Perdata dari badan usaha pertambangan terhadap pencemaran lingkungan hidup menurut Undang-</w:t>
      </w:r>
      <w:r w:rsidR="00FE3460">
        <w:rPr>
          <w:rFonts w:eastAsia="Times New Roman" w:cs="Times New Roman"/>
          <w:sz w:val="24"/>
          <w:szCs w:val="24"/>
        </w:rPr>
        <w:t>undang yang berlaku diIndonesia</w:t>
      </w:r>
      <w:r w:rsidR="00FE3460">
        <w:rPr>
          <w:rFonts w:eastAsia="Times New Roman" w:cs="Times New Roman"/>
          <w:sz w:val="24"/>
          <w:szCs w:val="24"/>
          <w:lang w:val="en-US"/>
        </w:rPr>
        <w:t xml:space="preserve"> dan b</w:t>
      </w:r>
      <w:r w:rsidR="00FE3460" w:rsidRPr="00C81872">
        <w:rPr>
          <w:rFonts w:eastAsia="Times New Roman" w:cs="Times New Roman"/>
          <w:sz w:val="24"/>
          <w:szCs w:val="24"/>
        </w:rPr>
        <w:t>agaimana kewenangan pemerintah dalam melakukan pengawasan terhadap</w:t>
      </w:r>
      <w:r w:rsidR="00FE3460">
        <w:rPr>
          <w:rFonts w:eastAsia="Times New Roman" w:cs="Times New Roman"/>
          <w:sz w:val="24"/>
          <w:szCs w:val="24"/>
        </w:rPr>
        <w:t xml:space="preserve"> pengelolaan usaha pertambangan</w:t>
      </w:r>
      <w:r w:rsidR="00FE3460">
        <w:rPr>
          <w:rFonts w:eastAsia="Times New Roman" w:cs="Times New Roman"/>
          <w:sz w:val="24"/>
          <w:szCs w:val="24"/>
          <w:lang w:val="en-US"/>
        </w:rPr>
        <w:t xml:space="preserve">.  </w:t>
      </w:r>
      <w:r w:rsidR="009D5633">
        <w:rPr>
          <w:rFonts w:eastAsia="Times New Roman" w:cs="Times New Roman"/>
          <w:sz w:val="24"/>
          <w:szCs w:val="24"/>
          <w:lang w:val="en-US"/>
        </w:rPr>
        <w:t xml:space="preserve">Dengan metode yuridis normatif disimpulkan bahwa: </w:t>
      </w:r>
      <w:r w:rsidR="00CA0B56">
        <w:rPr>
          <w:rFonts w:eastAsia="Times New Roman" w:cs="Times New Roman"/>
          <w:sz w:val="24"/>
          <w:szCs w:val="24"/>
          <w:lang w:val="en-US"/>
        </w:rPr>
        <w:t xml:space="preserve">1. </w:t>
      </w:r>
      <w:r w:rsidR="00CA0B56" w:rsidRPr="00FC3D18">
        <w:rPr>
          <w:rFonts w:eastAsia="Times New Roman" w:cs="Times New Roman"/>
          <w:sz w:val="24"/>
          <w:szCs w:val="24"/>
          <w:lang w:val="en-US"/>
        </w:rPr>
        <w:t>Dalam penegakan hukum lingkungan telah diatur segala bentuk pelanggaran maupun kejahatan, bagi pelaku baik yang dilakukan oleh perorangan maupun badan dengan upaya pencegahan (preventif) maupun penindakannya (represif). Untuk tindakan represif ini ada beberapa jenis instrument yang dapat diterapkan dan penerapannya tergantung dari keperluannya, sebagai pertimbangan antara lain melihat dampak yang ditimbulkannya. Jenis-jenis instrument yang dimaksud meliputi: a. Tindakan Administratif; b. Tindakan Perdata (proses perdata); c. Tindakan Pidana (proses pidana).</w:t>
      </w:r>
      <w:r w:rsidR="00CA0B56">
        <w:rPr>
          <w:rFonts w:eastAsia="Times New Roman" w:cs="Times New Roman"/>
          <w:sz w:val="24"/>
          <w:szCs w:val="24"/>
          <w:lang w:val="en-US"/>
        </w:rPr>
        <w:t xml:space="preserve"> 2. </w:t>
      </w:r>
      <w:r w:rsidR="00CA0B56" w:rsidRPr="00C81872">
        <w:rPr>
          <w:rFonts w:eastAsia="Times New Roman" w:cs="Times New Roman"/>
          <w:sz w:val="24"/>
          <w:szCs w:val="24"/>
          <w:lang w:val="en-US"/>
        </w:rPr>
        <w:t xml:space="preserve">Wewenang atau kewenangan atau </w:t>
      </w:r>
      <w:r w:rsidR="00CA0B56" w:rsidRPr="00C81872">
        <w:rPr>
          <w:rFonts w:eastAsia="Times New Roman" w:cs="Times New Roman"/>
          <w:i/>
          <w:sz w:val="24"/>
          <w:szCs w:val="24"/>
          <w:lang w:val="en-US"/>
        </w:rPr>
        <w:t>bevoegdheid</w:t>
      </w:r>
      <w:r w:rsidR="00CA0B56" w:rsidRPr="00C81872">
        <w:rPr>
          <w:rFonts w:eastAsia="Times New Roman" w:cs="Times New Roman"/>
          <w:i/>
          <w:sz w:val="24"/>
          <w:szCs w:val="24"/>
        </w:rPr>
        <w:t xml:space="preserve"> </w:t>
      </w:r>
      <w:r w:rsidR="00CA0B56" w:rsidRPr="00C81872">
        <w:rPr>
          <w:rFonts w:eastAsia="Times New Roman" w:cs="Times New Roman"/>
          <w:sz w:val="24"/>
          <w:szCs w:val="24"/>
        </w:rPr>
        <w:t xml:space="preserve">dari pemerintah adalah hak untuk mengatur. </w:t>
      </w:r>
      <w:r w:rsidR="00CA0B56" w:rsidRPr="00C81872">
        <w:rPr>
          <w:rFonts w:eastAsia="Times New Roman" w:cs="Times New Roman"/>
          <w:sz w:val="24"/>
          <w:szCs w:val="24"/>
          <w:lang w:val="en-US"/>
        </w:rPr>
        <w:t>Wewenang mengatur atau peraturan berkaitan dengan kekuasaan atau otoritas yang harus ditaati oleh pihak yang diatur. Pengaturan ini berbeda dengan pembuatan undang-undang atau legislasi, yaitu pembuatan peraturan perundang-undangan untuk mengatur kelakuan social yang dilakukan secara spesifik oleh suatu badan representatis atau perwakilan</w:t>
      </w:r>
      <w:r w:rsidR="00CA0B56" w:rsidRPr="00C81872">
        <w:rPr>
          <w:rFonts w:eastAsia="Times New Roman" w:cs="Times New Roman"/>
          <w:sz w:val="24"/>
          <w:szCs w:val="24"/>
        </w:rPr>
        <w:t>.</w:t>
      </w:r>
    </w:p>
    <w:p w:rsidR="00CA0B56" w:rsidRPr="00FE3460" w:rsidRDefault="00CA0B56" w:rsidP="00FE3460">
      <w:pPr>
        <w:spacing w:after="0" w:line="240" w:lineRule="auto"/>
        <w:jc w:val="both"/>
        <w:rPr>
          <w:rFonts w:eastAsia="Times New Roman" w:cs="Times New Roman"/>
          <w:sz w:val="24"/>
          <w:szCs w:val="24"/>
          <w:lang w:val="en-US"/>
        </w:rPr>
      </w:pPr>
      <w:r>
        <w:rPr>
          <w:rFonts w:eastAsia="Times New Roman" w:cs="Times New Roman"/>
          <w:sz w:val="24"/>
          <w:szCs w:val="24"/>
          <w:lang w:val="en-US"/>
        </w:rPr>
        <w:lastRenderedPageBreak/>
        <w:t>Kata kunci: pencemaran lingkungan hidup, pertambangan, pertanggungjawaban perdata</w:t>
      </w:r>
    </w:p>
    <w:p w:rsidR="004B75D6" w:rsidRPr="004B75D6" w:rsidRDefault="004B75D6" w:rsidP="004B75D6">
      <w:pPr>
        <w:spacing w:after="0" w:line="240" w:lineRule="auto"/>
        <w:ind w:left="425" w:hanging="425"/>
        <w:jc w:val="both"/>
        <w:rPr>
          <w:rFonts w:eastAsia="Times New Roman" w:cs="Times New Roman"/>
          <w:bCs/>
          <w:sz w:val="24"/>
          <w:szCs w:val="24"/>
          <w:lang w:val="en-US"/>
        </w:rPr>
      </w:pPr>
    </w:p>
    <w:p w:rsidR="002F4612" w:rsidRPr="00C81872" w:rsidRDefault="002F4612" w:rsidP="004B75D6">
      <w:pPr>
        <w:spacing w:after="0" w:line="240" w:lineRule="auto"/>
        <w:jc w:val="both"/>
        <w:rPr>
          <w:rFonts w:eastAsia="Times New Roman" w:cs="Times New Roman"/>
          <w:sz w:val="24"/>
          <w:szCs w:val="24"/>
        </w:rPr>
      </w:pPr>
      <w:r w:rsidRPr="00C81872">
        <w:rPr>
          <w:rFonts w:eastAsia="Times New Roman" w:cs="Times New Roman"/>
          <w:b/>
          <w:bCs/>
          <w:sz w:val="24"/>
          <w:szCs w:val="24"/>
        </w:rPr>
        <w:t>PENDAHULUAN</w:t>
      </w:r>
    </w:p>
    <w:p w:rsidR="002F4612" w:rsidRPr="00C81872" w:rsidRDefault="002F4612" w:rsidP="00C81872">
      <w:pPr>
        <w:pStyle w:val="ListParagraph"/>
        <w:numPr>
          <w:ilvl w:val="1"/>
          <w:numId w:val="1"/>
        </w:numPr>
        <w:spacing w:after="0" w:line="240" w:lineRule="auto"/>
        <w:contextualSpacing w:val="0"/>
        <w:jc w:val="both"/>
        <w:rPr>
          <w:rFonts w:eastAsia="Times New Roman" w:cs="Times New Roman"/>
          <w:sz w:val="24"/>
          <w:szCs w:val="24"/>
        </w:rPr>
      </w:pPr>
      <w:r w:rsidRPr="00C81872">
        <w:rPr>
          <w:rFonts w:eastAsia="Times New Roman" w:cs="Times New Roman"/>
          <w:b/>
          <w:bCs/>
          <w:sz w:val="24"/>
          <w:szCs w:val="24"/>
        </w:rPr>
        <w:t xml:space="preserve">Latar Belakang </w:t>
      </w:r>
    </w:p>
    <w:p w:rsidR="00A41737" w:rsidRPr="00C81872" w:rsidRDefault="00A41737" w:rsidP="00CA0B56">
      <w:pPr>
        <w:pStyle w:val="NormalWeb"/>
        <w:spacing w:before="0" w:beforeAutospacing="0" w:after="0" w:afterAutospacing="0"/>
        <w:ind w:firstLine="284"/>
        <w:jc w:val="both"/>
        <w:rPr>
          <w:rFonts w:asciiTheme="minorHAnsi" w:hAnsiTheme="minorHAnsi"/>
        </w:rPr>
      </w:pPr>
      <w:r w:rsidRPr="00C81872">
        <w:rPr>
          <w:rFonts w:asciiTheme="minorHAnsi" w:hAnsiTheme="minorHAnsi"/>
        </w:rPr>
        <w:t>Bumi pertiwi menyimpan banya</w:t>
      </w:r>
      <w:r w:rsidR="00814E32" w:rsidRPr="00C81872">
        <w:rPr>
          <w:rFonts w:asciiTheme="minorHAnsi" w:hAnsiTheme="minorHAnsi"/>
        </w:rPr>
        <w:t>k kekayaan alam yang luar biasa</w:t>
      </w:r>
      <w:r w:rsidRPr="00C81872">
        <w:rPr>
          <w:rFonts w:asciiTheme="minorHAnsi" w:hAnsiTheme="minorHAnsi"/>
        </w:rPr>
        <w:t>, bumi kita kaya akan Sumber Daya Alam yang sangat bermanfaat untuk kemakmuran d</w:t>
      </w:r>
      <w:r w:rsidR="00814E32" w:rsidRPr="00C81872">
        <w:rPr>
          <w:rFonts w:asciiTheme="minorHAnsi" w:hAnsiTheme="minorHAnsi"/>
        </w:rPr>
        <w:t>an kesejahteraan rakyat pertiwi</w:t>
      </w:r>
      <w:r w:rsidRPr="00C81872">
        <w:rPr>
          <w:rFonts w:asciiTheme="minorHAnsi" w:hAnsiTheme="minorHAnsi"/>
        </w:rPr>
        <w:t>. Sumber Daya Alam di bumi Indonesia ini tidak hanya digunakan  sebagai bahan konsumsi Negara Indonesia semata, tetapi juga oleh Negara-negara lain. Kesemua Negara bergantung pada Sumber Daya Alam di bumi ini. Semua berlomba menarik hati In</w:t>
      </w:r>
      <w:r w:rsidR="00814E32" w:rsidRPr="00C81872">
        <w:rPr>
          <w:rFonts w:asciiTheme="minorHAnsi" w:hAnsiTheme="minorHAnsi"/>
        </w:rPr>
        <w:t>donesia agar bisa berinvenstasi</w:t>
      </w:r>
      <w:r w:rsidRPr="00C81872">
        <w:rPr>
          <w:rFonts w:asciiTheme="minorHAnsi" w:hAnsiTheme="minorHAnsi"/>
        </w:rPr>
        <w:t xml:space="preserve">. Mulai </w:t>
      </w:r>
      <w:r w:rsidR="00814E32" w:rsidRPr="00C81872">
        <w:rPr>
          <w:rFonts w:asciiTheme="minorHAnsi" w:hAnsiTheme="minorHAnsi"/>
        </w:rPr>
        <w:t>dari sektor Kelautan, Kehutanan</w:t>
      </w:r>
      <w:r w:rsidRPr="00C81872">
        <w:rPr>
          <w:rFonts w:asciiTheme="minorHAnsi" w:hAnsiTheme="minorHAnsi"/>
        </w:rPr>
        <w:t>, P</w:t>
      </w:r>
      <w:r w:rsidR="00814E32" w:rsidRPr="00C81872">
        <w:rPr>
          <w:rFonts w:asciiTheme="minorHAnsi" w:hAnsiTheme="minorHAnsi"/>
        </w:rPr>
        <w:t>erkebunan dan juga Pertambangan</w:t>
      </w:r>
      <w:r w:rsidRPr="00C81872">
        <w:rPr>
          <w:rFonts w:asciiTheme="minorHAnsi" w:hAnsiTheme="minorHAnsi"/>
        </w:rPr>
        <w:t>. Hasilnya pun akan memberi keuntungan pada Negara Indonesia sendiri.</w:t>
      </w:r>
      <w:r w:rsidRPr="00C81872">
        <w:rPr>
          <w:rStyle w:val="FootnoteReference"/>
          <w:rFonts w:asciiTheme="minorHAnsi" w:hAnsiTheme="minorHAnsi"/>
        </w:rPr>
        <w:footnoteReference w:id="3"/>
      </w:r>
    </w:p>
    <w:p w:rsidR="00970B9E" w:rsidRPr="00C81872" w:rsidRDefault="00367FF6" w:rsidP="00CA0B56">
      <w:pPr>
        <w:pStyle w:val="NormalWeb"/>
        <w:spacing w:before="0" w:beforeAutospacing="0" w:after="0" w:afterAutospacing="0"/>
        <w:ind w:firstLine="284"/>
        <w:jc w:val="both"/>
        <w:rPr>
          <w:rFonts w:asciiTheme="minorHAnsi" w:hAnsiTheme="minorHAnsi"/>
          <w:lang w:val="en-US"/>
        </w:rPr>
      </w:pPr>
      <w:r w:rsidRPr="00C81872">
        <w:rPr>
          <w:rFonts w:asciiTheme="minorHAnsi" w:hAnsiTheme="minorHAnsi"/>
        </w:rPr>
        <w:t xml:space="preserve">Oleh karena itu diperlukan sebuah cara serta mekanisme bagaimana seharusnya para perusahaan pengelola </w:t>
      </w:r>
      <w:r w:rsidR="00BE46D5" w:rsidRPr="00C81872">
        <w:rPr>
          <w:rFonts w:asciiTheme="minorHAnsi" w:hAnsiTheme="minorHAnsi"/>
        </w:rPr>
        <w:t>pertambangan</w:t>
      </w:r>
      <w:r w:rsidRPr="00C81872">
        <w:rPr>
          <w:rFonts w:asciiTheme="minorHAnsi" w:hAnsiTheme="minorHAnsi"/>
        </w:rPr>
        <w:t xml:space="preserve"> dapat tetap melakukan eksploitasi dengan tetap memperhatikan dampak dari lingkungan hidup Indonesia, sehingga kerusakan di bumi pertiwi ini akan berkurang dan terciptalah sebuah Negara Kesejahteraan  sesuai dengan apa yang menjadi tujuan bangsa Indonesi</w:t>
      </w:r>
      <w:r w:rsidR="000F5E5C" w:rsidRPr="00C81872">
        <w:rPr>
          <w:rFonts w:asciiTheme="minorHAnsi" w:hAnsiTheme="minorHAnsi"/>
        </w:rPr>
        <w:t>a dimana tertuang dalam  Undang</w:t>
      </w:r>
      <w:r w:rsidR="000F5E5C" w:rsidRPr="00C81872">
        <w:rPr>
          <w:rFonts w:asciiTheme="minorHAnsi" w:hAnsiTheme="minorHAnsi"/>
          <w:lang w:val="en-US"/>
        </w:rPr>
        <w:t xml:space="preserve"> U</w:t>
      </w:r>
      <w:r w:rsidRPr="00C81872">
        <w:rPr>
          <w:rFonts w:asciiTheme="minorHAnsi" w:hAnsiTheme="minorHAnsi"/>
        </w:rPr>
        <w:t>ndang Dasar 1945</w:t>
      </w:r>
      <w:r w:rsidR="000F5E5C" w:rsidRPr="00C81872">
        <w:rPr>
          <w:rFonts w:asciiTheme="minorHAnsi" w:hAnsiTheme="minorHAnsi"/>
          <w:lang w:val="en-US"/>
        </w:rPr>
        <w:t xml:space="preserve">, UU No. 32 Tahun 2009 dan UU No. 4 Tahun 2009. </w:t>
      </w:r>
      <w:r w:rsidRPr="00C81872">
        <w:rPr>
          <w:rFonts w:asciiTheme="minorHAnsi" w:hAnsiTheme="minorHAnsi"/>
        </w:rPr>
        <w:t>Tentunya hal ini juga tidak terlepas dari peran pemerintah selaku pelaksana didalam membuat peraturan-p</w:t>
      </w:r>
      <w:r w:rsidR="00970B9E" w:rsidRPr="00C81872">
        <w:rPr>
          <w:rFonts w:asciiTheme="minorHAnsi" w:hAnsiTheme="minorHAnsi"/>
        </w:rPr>
        <w:t>eraturan dan kebijakan terhadap Lingkungan hidup.</w:t>
      </w:r>
      <w:r w:rsidR="00970B9E" w:rsidRPr="00C81872">
        <w:rPr>
          <w:rFonts w:asciiTheme="minorHAnsi" w:hAnsiTheme="minorHAnsi"/>
          <w:lang w:val="en-US"/>
        </w:rPr>
        <w:t xml:space="preserve"> </w:t>
      </w:r>
      <w:r w:rsidRPr="00C81872">
        <w:rPr>
          <w:rFonts w:asciiTheme="minorHAnsi" w:hAnsiTheme="minorHAnsi"/>
        </w:rPr>
        <w:t xml:space="preserve">Agar, dalam hal ini masyarakat umum mengetahui bahwa perhatian mengenai lingkungan tidak hanya dilihat dari aspek sosiologis semata tetapi juga ada  aspek-aspek yuridis dimana ada </w:t>
      </w:r>
      <w:r w:rsidRPr="00C81872">
        <w:rPr>
          <w:rFonts w:asciiTheme="minorHAnsi" w:hAnsiTheme="minorHAnsi"/>
        </w:rPr>
        <w:lastRenderedPageBreak/>
        <w:t>peraturan-peraturan yang harus ditaati pada setiap mekanisme pengeksploitasian yang dilak</w:t>
      </w:r>
      <w:r w:rsidR="00D241B7" w:rsidRPr="00C81872">
        <w:rPr>
          <w:rFonts w:asciiTheme="minorHAnsi" w:hAnsiTheme="minorHAnsi"/>
        </w:rPr>
        <w:t xml:space="preserve">ukan oleh para perusahaan </w:t>
      </w:r>
      <w:r w:rsidRPr="00C81872">
        <w:rPr>
          <w:rFonts w:asciiTheme="minorHAnsi" w:hAnsiTheme="minorHAnsi"/>
        </w:rPr>
        <w:t>demi terciptanya sebuah lingkungan hidup yang baik</w:t>
      </w:r>
      <w:r w:rsidR="00431B72" w:rsidRPr="00C81872">
        <w:rPr>
          <w:rFonts w:asciiTheme="minorHAnsi" w:hAnsiTheme="minorHAnsi"/>
        </w:rPr>
        <w:t>.</w:t>
      </w:r>
      <w:r w:rsidR="00431B72" w:rsidRPr="00C81872">
        <w:rPr>
          <w:rStyle w:val="FootnoteReference"/>
          <w:rFonts w:asciiTheme="minorHAnsi" w:hAnsiTheme="minorHAnsi"/>
        </w:rPr>
        <w:footnoteReference w:id="4"/>
      </w:r>
    </w:p>
    <w:p w:rsidR="00A41737" w:rsidRPr="00C81872" w:rsidRDefault="004713D5" w:rsidP="00CA0B56">
      <w:pPr>
        <w:spacing w:after="0" w:line="240" w:lineRule="auto"/>
        <w:ind w:firstLine="284"/>
        <w:jc w:val="both"/>
        <w:rPr>
          <w:rFonts w:eastAsia="Times New Roman" w:cs="Times New Roman"/>
          <w:b/>
          <w:i/>
          <w:sz w:val="24"/>
          <w:szCs w:val="24"/>
        </w:rPr>
      </w:pPr>
      <w:r w:rsidRPr="00C81872">
        <w:rPr>
          <w:rFonts w:eastAsia="Times New Roman" w:cs="Times New Roman"/>
          <w:sz w:val="24"/>
          <w:szCs w:val="24"/>
        </w:rPr>
        <w:t xml:space="preserve">Dari uraian latar belakang di atas, sebagaimana yang telah penulis paparkan, maka  faktor inilah yang melatarbelakangi penulis untuk mengangkatnya  menjadi topik pembahasan dalam penulisan skripsi dengan judul </w:t>
      </w:r>
      <w:r w:rsidRPr="00C81872">
        <w:rPr>
          <w:rFonts w:eastAsia="Times New Roman" w:cs="Times New Roman"/>
          <w:b/>
          <w:i/>
          <w:sz w:val="24"/>
          <w:szCs w:val="24"/>
        </w:rPr>
        <w:t>“Pertanggungjawaban secara perdata dari badan usaha pertambangan terhadap pencemaran lingkungan hidup”.</w:t>
      </w:r>
    </w:p>
    <w:p w:rsidR="00697D7A" w:rsidRPr="00C81872" w:rsidRDefault="00697D7A" w:rsidP="00C81872">
      <w:pPr>
        <w:spacing w:after="0" w:line="240" w:lineRule="auto"/>
        <w:ind w:firstLine="851"/>
        <w:jc w:val="both"/>
        <w:rPr>
          <w:rFonts w:eastAsia="Times New Roman" w:cs="Times New Roman"/>
          <w:b/>
          <w:i/>
          <w:sz w:val="24"/>
          <w:szCs w:val="24"/>
        </w:rPr>
      </w:pPr>
    </w:p>
    <w:p w:rsidR="002F4612" w:rsidRPr="00C81872" w:rsidRDefault="002F4612" w:rsidP="00FE3460">
      <w:pPr>
        <w:pStyle w:val="ListParagraph"/>
        <w:numPr>
          <w:ilvl w:val="1"/>
          <w:numId w:val="1"/>
        </w:numPr>
        <w:spacing w:after="0" w:line="240" w:lineRule="auto"/>
        <w:ind w:left="284" w:hanging="284"/>
        <w:contextualSpacing w:val="0"/>
        <w:jc w:val="both"/>
        <w:rPr>
          <w:rFonts w:eastAsia="Times New Roman" w:cs="Times New Roman"/>
          <w:b/>
          <w:sz w:val="24"/>
          <w:szCs w:val="24"/>
        </w:rPr>
      </w:pPr>
      <w:r w:rsidRPr="00C81872">
        <w:rPr>
          <w:rFonts w:eastAsia="Times New Roman" w:cs="Times New Roman"/>
          <w:b/>
          <w:sz w:val="24"/>
          <w:szCs w:val="24"/>
        </w:rPr>
        <w:t>Perumusan Masalah</w:t>
      </w:r>
    </w:p>
    <w:p w:rsidR="004457F3" w:rsidRPr="00C81872" w:rsidRDefault="005170B0" w:rsidP="00FE3460">
      <w:pPr>
        <w:pStyle w:val="ListParagraph"/>
        <w:numPr>
          <w:ilvl w:val="0"/>
          <w:numId w:val="7"/>
        </w:numPr>
        <w:spacing w:after="0" w:line="240" w:lineRule="auto"/>
        <w:ind w:left="284" w:hanging="284"/>
        <w:contextualSpacing w:val="0"/>
        <w:jc w:val="both"/>
        <w:rPr>
          <w:rFonts w:eastAsia="Times New Roman" w:cs="Times New Roman"/>
          <w:sz w:val="24"/>
          <w:szCs w:val="24"/>
        </w:rPr>
      </w:pPr>
      <w:r w:rsidRPr="00C81872">
        <w:rPr>
          <w:rFonts w:eastAsia="Times New Roman" w:cs="Times New Roman"/>
          <w:sz w:val="24"/>
          <w:szCs w:val="24"/>
        </w:rPr>
        <w:t>Bagaimana pertanggungjawaban</w:t>
      </w:r>
      <w:r w:rsidR="00932B35" w:rsidRPr="00C81872">
        <w:rPr>
          <w:rFonts w:eastAsia="Times New Roman" w:cs="Times New Roman"/>
          <w:sz w:val="24"/>
          <w:szCs w:val="24"/>
        </w:rPr>
        <w:t xml:space="preserve"> Perdata</w:t>
      </w:r>
      <w:r w:rsidRPr="00C81872">
        <w:rPr>
          <w:rFonts w:eastAsia="Times New Roman" w:cs="Times New Roman"/>
          <w:sz w:val="24"/>
          <w:szCs w:val="24"/>
        </w:rPr>
        <w:t xml:space="preserve"> dari badan usaha pertambangan terhadap pencemaran lingkungan hidup menurut Undang-undang yang berlaku diIndonesia?</w:t>
      </w:r>
    </w:p>
    <w:p w:rsidR="005170B0" w:rsidRPr="00C81872" w:rsidRDefault="005170B0" w:rsidP="00FE3460">
      <w:pPr>
        <w:pStyle w:val="ListParagraph"/>
        <w:numPr>
          <w:ilvl w:val="0"/>
          <w:numId w:val="7"/>
        </w:numPr>
        <w:spacing w:after="0" w:line="240" w:lineRule="auto"/>
        <w:ind w:left="284" w:hanging="284"/>
        <w:contextualSpacing w:val="0"/>
        <w:jc w:val="both"/>
        <w:rPr>
          <w:rFonts w:eastAsia="Times New Roman" w:cs="Times New Roman"/>
          <w:sz w:val="24"/>
          <w:szCs w:val="24"/>
        </w:rPr>
      </w:pPr>
      <w:r w:rsidRPr="00C81872">
        <w:rPr>
          <w:rFonts w:eastAsia="Times New Roman" w:cs="Times New Roman"/>
          <w:sz w:val="24"/>
          <w:szCs w:val="24"/>
        </w:rPr>
        <w:t>Bagaimana kewenangan pemerintah dalam melakukan pengawasan terhadap pengelolaan usaha pertambangan?</w:t>
      </w:r>
    </w:p>
    <w:p w:rsidR="005170B0" w:rsidRPr="00C81872" w:rsidRDefault="005170B0" w:rsidP="00C81872">
      <w:pPr>
        <w:pStyle w:val="ListParagraph"/>
        <w:spacing w:after="0" w:line="240" w:lineRule="auto"/>
        <w:ind w:left="1068"/>
        <w:contextualSpacing w:val="0"/>
        <w:jc w:val="both"/>
        <w:rPr>
          <w:rFonts w:eastAsia="Times New Roman" w:cs="Times New Roman"/>
          <w:sz w:val="24"/>
          <w:szCs w:val="24"/>
        </w:rPr>
      </w:pPr>
    </w:p>
    <w:p w:rsidR="002F4612" w:rsidRPr="00C81872" w:rsidRDefault="002F4612" w:rsidP="00C42B13">
      <w:pPr>
        <w:pStyle w:val="ListParagraph"/>
        <w:numPr>
          <w:ilvl w:val="1"/>
          <w:numId w:val="1"/>
        </w:numPr>
        <w:spacing w:after="0" w:line="240" w:lineRule="auto"/>
        <w:ind w:left="284" w:hanging="284"/>
        <w:contextualSpacing w:val="0"/>
        <w:rPr>
          <w:rFonts w:cs="Times New Roman"/>
          <w:sz w:val="24"/>
          <w:szCs w:val="24"/>
        </w:rPr>
      </w:pPr>
      <w:r w:rsidRPr="00C81872">
        <w:rPr>
          <w:rFonts w:cs="Times New Roman"/>
          <w:b/>
          <w:sz w:val="24"/>
          <w:szCs w:val="24"/>
        </w:rPr>
        <w:t>Metode Penelitian</w:t>
      </w:r>
    </w:p>
    <w:p w:rsidR="00C42B13" w:rsidRDefault="00EF28CA" w:rsidP="00C42B13">
      <w:pPr>
        <w:pStyle w:val="ListParagraph"/>
        <w:spacing w:after="0" w:line="240" w:lineRule="auto"/>
        <w:ind w:left="0" w:firstLine="284"/>
        <w:contextualSpacing w:val="0"/>
        <w:jc w:val="both"/>
        <w:rPr>
          <w:rFonts w:eastAsia="Times New Roman" w:cs="Times New Roman"/>
          <w:sz w:val="24"/>
          <w:szCs w:val="24"/>
          <w:lang w:val="en-US"/>
        </w:rPr>
      </w:pPr>
      <w:r w:rsidRPr="00C81872">
        <w:rPr>
          <w:rFonts w:eastAsia="Times New Roman" w:cs="Times New Roman"/>
          <w:sz w:val="24"/>
          <w:szCs w:val="24"/>
        </w:rPr>
        <w:t>Penu</w:t>
      </w:r>
      <w:r w:rsidR="00782EC7" w:rsidRPr="00C81872">
        <w:rPr>
          <w:rFonts w:eastAsia="Times New Roman" w:cs="Times New Roman"/>
          <w:sz w:val="24"/>
          <w:szCs w:val="24"/>
        </w:rPr>
        <w:t xml:space="preserve">lisan ini menggunakan </w:t>
      </w:r>
      <w:r w:rsidRPr="00C81872">
        <w:rPr>
          <w:rFonts w:eastAsia="Times New Roman" w:cs="Times New Roman"/>
          <w:sz w:val="24"/>
          <w:szCs w:val="24"/>
        </w:rPr>
        <w:t>metode</w:t>
      </w:r>
      <w:r w:rsidR="00782EC7" w:rsidRPr="00C81872">
        <w:rPr>
          <w:rFonts w:eastAsia="Times New Roman" w:cs="Times New Roman"/>
          <w:sz w:val="24"/>
          <w:szCs w:val="24"/>
        </w:rPr>
        <w:t xml:space="preserve"> </w:t>
      </w:r>
      <w:r w:rsidR="00782EC7" w:rsidRPr="00C81872">
        <w:rPr>
          <w:rFonts w:eastAsia="Times New Roman" w:cs="Times New Roman"/>
          <w:i/>
          <w:iCs/>
          <w:sz w:val="24"/>
          <w:szCs w:val="24"/>
        </w:rPr>
        <w:t xml:space="preserve">yuridis normatif </w:t>
      </w:r>
      <w:r w:rsidRPr="00C81872">
        <w:rPr>
          <w:rFonts w:eastAsia="Times New Roman" w:cs="Times New Roman"/>
          <w:sz w:val="24"/>
          <w:szCs w:val="24"/>
        </w:rPr>
        <w:t>yaitu metode</w:t>
      </w:r>
      <w:r w:rsidR="00782EC7" w:rsidRPr="00C81872">
        <w:rPr>
          <w:rFonts w:eastAsia="Times New Roman" w:cs="Times New Roman"/>
          <w:sz w:val="24"/>
          <w:szCs w:val="24"/>
        </w:rPr>
        <w:t xml:space="preserve"> penambahan dengan berpegang pada norma atau kaidah hukum yang berlaku</w:t>
      </w:r>
      <w:r w:rsidRPr="00C81872">
        <w:rPr>
          <w:rFonts w:eastAsia="Times New Roman" w:cs="Times New Roman"/>
          <w:sz w:val="24"/>
          <w:szCs w:val="24"/>
        </w:rPr>
        <w:t xml:space="preserve">. Untuk memperoleh data dalam penulisan ini penulis telah menggunakan metode penelitian keputusan  </w:t>
      </w:r>
      <w:r w:rsidRPr="00C81872">
        <w:rPr>
          <w:rFonts w:eastAsia="Times New Roman" w:cs="Times New Roman"/>
          <w:i/>
          <w:sz w:val="24"/>
          <w:szCs w:val="24"/>
        </w:rPr>
        <w:t>( library research )</w:t>
      </w:r>
      <w:r w:rsidRPr="00C81872">
        <w:rPr>
          <w:rFonts w:eastAsia="Times New Roman" w:cs="Times New Roman"/>
          <w:sz w:val="24"/>
          <w:szCs w:val="24"/>
        </w:rPr>
        <w:t xml:space="preserve"> yang di lakukan dengan jalanan membaca dan mempelajari berbagai sumber tertulis yang ada hubungannya dengan perasalahan yang di bahas. </w:t>
      </w:r>
    </w:p>
    <w:p w:rsidR="002F4612" w:rsidRPr="00C81872" w:rsidRDefault="002F4612" w:rsidP="00C81872">
      <w:pPr>
        <w:spacing w:after="0" w:line="240" w:lineRule="auto"/>
        <w:rPr>
          <w:rFonts w:cs="Times New Roman"/>
          <w:sz w:val="24"/>
          <w:szCs w:val="24"/>
        </w:rPr>
      </w:pPr>
    </w:p>
    <w:p w:rsidR="00DB64AE" w:rsidRPr="00C81872" w:rsidRDefault="00DB64AE" w:rsidP="00C42B13">
      <w:pPr>
        <w:spacing w:after="0" w:line="240" w:lineRule="auto"/>
        <w:outlineLvl w:val="0"/>
        <w:rPr>
          <w:rFonts w:cs="Times New Roman"/>
          <w:b/>
          <w:sz w:val="24"/>
          <w:szCs w:val="24"/>
        </w:rPr>
      </w:pPr>
      <w:r w:rsidRPr="00C81872">
        <w:rPr>
          <w:rFonts w:cs="Times New Roman"/>
          <w:b/>
          <w:sz w:val="24"/>
          <w:szCs w:val="24"/>
        </w:rPr>
        <w:t>TINJAUAN PUSTAKA</w:t>
      </w:r>
    </w:p>
    <w:p w:rsidR="00DB64AE" w:rsidRPr="00C81872" w:rsidRDefault="00DB64AE" w:rsidP="00CA0B56">
      <w:pPr>
        <w:tabs>
          <w:tab w:val="left" w:pos="5706"/>
        </w:tabs>
        <w:spacing w:after="0" w:line="240" w:lineRule="auto"/>
        <w:ind w:left="284" w:hanging="284"/>
        <w:jc w:val="both"/>
        <w:outlineLvl w:val="0"/>
        <w:rPr>
          <w:rFonts w:cs="Times New Roman"/>
          <w:b/>
          <w:i/>
          <w:sz w:val="24"/>
          <w:szCs w:val="24"/>
        </w:rPr>
      </w:pPr>
      <w:r w:rsidRPr="00C81872">
        <w:rPr>
          <w:rFonts w:cs="Times New Roman"/>
          <w:b/>
          <w:sz w:val="24"/>
          <w:szCs w:val="24"/>
        </w:rPr>
        <w:t>A.</w:t>
      </w:r>
      <w:r w:rsidRPr="00C81872">
        <w:rPr>
          <w:rFonts w:cs="Times New Roman"/>
          <w:b/>
          <w:sz w:val="24"/>
          <w:szCs w:val="24"/>
        </w:rPr>
        <w:tab/>
        <w:t xml:space="preserve">Konsep </w:t>
      </w:r>
      <w:r w:rsidRPr="00C81872">
        <w:rPr>
          <w:rFonts w:eastAsia="Times New Roman" w:cs="Times New Roman"/>
          <w:b/>
          <w:sz w:val="24"/>
          <w:szCs w:val="24"/>
        </w:rPr>
        <w:t>Tanggung Jawab Sosial dan lingkungan</w:t>
      </w:r>
    </w:p>
    <w:p w:rsidR="00DB64AE" w:rsidRPr="00C81872" w:rsidRDefault="00DB64AE" w:rsidP="00CA0B56">
      <w:pPr>
        <w:pStyle w:val="NormalWeb"/>
        <w:spacing w:before="0" w:beforeAutospacing="0" w:after="0" w:afterAutospacing="0"/>
        <w:ind w:firstLine="284"/>
        <w:jc w:val="both"/>
        <w:rPr>
          <w:rFonts w:asciiTheme="minorHAnsi" w:hAnsiTheme="minorHAnsi"/>
        </w:rPr>
      </w:pPr>
      <w:r w:rsidRPr="00C81872">
        <w:rPr>
          <w:rFonts w:asciiTheme="minorHAnsi" w:hAnsiTheme="minorHAnsi"/>
        </w:rPr>
        <w:t xml:space="preserve">Pasal 1 Nomor 3 Undang-Undang Nomor 40 Tahun 2007 tentang Perseroan Terbatas (selanjutnya disebut UU PT) tampaknya menggunakan istilah Tanggung Jawab Sosial </w:t>
      </w:r>
      <w:r w:rsidRPr="00C81872">
        <w:rPr>
          <w:rFonts w:asciiTheme="minorHAnsi" w:hAnsiTheme="minorHAnsi"/>
        </w:rPr>
        <w:lastRenderedPageBreak/>
        <w:t xml:space="preserve">dan Lingkungan (TJSL) sebagai terjemahan dari istilah </w:t>
      </w:r>
      <w:r w:rsidRPr="00C81872">
        <w:rPr>
          <w:rStyle w:val="Emphasis"/>
          <w:rFonts w:asciiTheme="minorHAnsi" w:hAnsiTheme="minorHAnsi"/>
        </w:rPr>
        <w:t>Corporate Social Responsibility</w:t>
      </w:r>
      <w:r w:rsidRPr="00C81872">
        <w:rPr>
          <w:rFonts w:asciiTheme="minorHAnsi" w:hAnsiTheme="minorHAnsi"/>
        </w:rPr>
        <w:t xml:space="preserve"> (CSR) untuk konteks perusahaan dalam masyarakat Indonesia, dan mengartikannya sebagai "komitmen perseroan untuk berperan serta dalam pembangunan ekonomi berkelanjutan guna meningkatkan kualitas kehidupan dan lingkungan yang bermanfaat, baik bagi perseroan sendiri, komunitas setempat, maupun masyarakat pada umumnya".</w:t>
      </w:r>
      <w:r w:rsidRPr="00C81872">
        <w:rPr>
          <w:rStyle w:val="FootnoteReference"/>
          <w:rFonts w:asciiTheme="minorHAnsi" w:hAnsiTheme="minorHAnsi"/>
        </w:rPr>
        <w:footnoteReference w:id="5"/>
      </w:r>
    </w:p>
    <w:p w:rsidR="00DB64AE" w:rsidRPr="00C81872" w:rsidRDefault="00DB64AE" w:rsidP="00C81872">
      <w:pPr>
        <w:spacing w:after="0" w:line="240" w:lineRule="auto"/>
        <w:jc w:val="both"/>
        <w:rPr>
          <w:rFonts w:cs="Times New Roman"/>
          <w:sz w:val="24"/>
          <w:szCs w:val="24"/>
        </w:rPr>
      </w:pPr>
    </w:p>
    <w:p w:rsidR="00DB64AE" w:rsidRPr="00C81872" w:rsidRDefault="00DB64AE" w:rsidP="004223DC">
      <w:pPr>
        <w:autoSpaceDE w:val="0"/>
        <w:spacing w:after="0" w:line="240" w:lineRule="auto"/>
        <w:ind w:left="284" w:hanging="284"/>
        <w:jc w:val="both"/>
        <w:rPr>
          <w:rFonts w:eastAsia="Times New Roman" w:cs="Times New Roman"/>
          <w:b/>
          <w:sz w:val="24"/>
          <w:szCs w:val="24"/>
        </w:rPr>
      </w:pPr>
      <w:r w:rsidRPr="00C81872">
        <w:rPr>
          <w:rFonts w:cs="Times New Roman"/>
          <w:b/>
          <w:sz w:val="24"/>
          <w:szCs w:val="24"/>
        </w:rPr>
        <w:t>C.</w:t>
      </w:r>
      <w:r w:rsidRPr="00C81872">
        <w:rPr>
          <w:rFonts w:cs="Times New Roman"/>
          <w:b/>
          <w:sz w:val="24"/>
          <w:szCs w:val="24"/>
        </w:rPr>
        <w:tab/>
      </w:r>
      <w:r w:rsidRPr="00C81872">
        <w:rPr>
          <w:rFonts w:eastAsia="Times New Roman" w:cs="Times New Roman"/>
          <w:b/>
          <w:sz w:val="24"/>
          <w:szCs w:val="24"/>
        </w:rPr>
        <w:t>Pencemaran lingkungan hidup di Indonesia.</w:t>
      </w:r>
    </w:p>
    <w:p w:rsidR="00DB64AE" w:rsidRPr="00C81872" w:rsidRDefault="00DB64AE" w:rsidP="00DB67BC">
      <w:pPr>
        <w:autoSpaceDE w:val="0"/>
        <w:spacing w:after="0" w:line="240" w:lineRule="auto"/>
        <w:ind w:firstLine="284"/>
        <w:jc w:val="both"/>
        <w:rPr>
          <w:rFonts w:cs="Times New Roman"/>
          <w:sz w:val="24"/>
          <w:szCs w:val="24"/>
        </w:rPr>
      </w:pPr>
      <w:r w:rsidRPr="00C81872">
        <w:rPr>
          <w:rFonts w:cs="Times New Roman"/>
          <w:sz w:val="24"/>
          <w:szCs w:val="24"/>
          <w:lang w:val="en-US"/>
        </w:rPr>
        <w:t>P</w:t>
      </w:r>
      <w:r w:rsidRPr="00C81872">
        <w:rPr>
          <w:rFonts w:cs="Times New Roman"/>
          <w:sz w:val="24"/>
          <w:szCs w:val="24"/>
        </w:rPr>
        <w:t>e</w:t>
      </w:r>
      <w:r w:rsidRPr="00C81872">
        <w:rPr>
          <w:rFonts w:cs="Times New Roman"/>
          <w:sz w:val="24"/>
          <w:szCs w:val="24"/>
          <w:lang w:val="en-US"/>
        </w:rPr>
        <w:t>r</w:t>
      </w:r>
      <w:r w:rsidRPr="00C81872">
        <w:rPr>
          <w:rFonts w:cs="Times New Roman"/>
          <w:sz w:val="24"/>
          <w:szCs w:val="24"/>
        </w:rPr>
        <w:t>masalahan lingkungan hidup merupakan salah satu masalah yang semakin hari semakin menghawatirkan, pengeksploitasian yang tidak sesuai dengan mekanisme dan tidak memperhatikan keadaan lingkungan adalah bentuk nyata para perusahaan pengeksploitasi di Negara ini. Khususnya dalam pertambangan. Dalam Undang-Undang Nomor 32 Tahun 2009 Tentang perlindungan dan pengelolaan lingkungan hidup Pasal 1 ayat 14 menyebutkan bahwa pencemaran lingkungan hidup adalah masuk atau dimasukkannya makhluk hidup, zat, energi, dan/atau komponen lain ke dalam lingkungan hidup oleh kegiatan manusia sehingga melampaui baku mutu lingkungan hidup untuk dapat tetap melestarikan fungsinya.</w:t>
      </w:r>
      <w:r w:rsidRPr="00C81872">
        <w:rPr>
          <w:rStyle w:val="FootnoteReference"/>
          <w:rFonts w:cs="Times New Roman"/>
          <w:sz w:val="24"/>
          <w:szCs w:val="24"/>
        </w:rPr>
        <w:footnoteReference w:id="6"/>
      </w:r>
    </w:p>
    <w:p w:rsidR="00DB64AE" w:rsidRPr="00C81872" w:rsidRDefault="00DB64AE" w:rsidP="00C81872">
      <w:pPr>
        <w:spacing w:after="0" w:line="240" w:lineRule="auto"/>
        <w:jc w:val="both"/>
        <w:rPr>
          <w:rFonts w:cs="Times New Roman"/>
          <w:sz w:val="24"/>
          <w:szCs w:val="24"/>
        </w:rPr>
      </w:pPr>
      <w:r w:rsidRPr="00C81872">
        <w:rPr>
          <w:rFonts w:cs="Times New Roman"/>
          <w:sz w:val="24"/>
          <w:szCs w:val="24"/>
        </w:rPr>
        <w:tab/>
      </w:r>
    </w:p>
    <w:p w:rsidR="00DB64AE" w:rsidRPr="00C81872" w:rsidRDefault="00DB64AE" w:rsidP="00DB67BC">
      <w:pPr>
        <w:spacing w:after="0" w:line="240" w:lineRule="auto"/>
        <w:jc w:val="both"/>
        <w:rPr>
          <w:rFonts w:eastAsia="Times New Roman" w:cs="Times New Roman"/>
          <w:sz w:val="24"/>
          <w:szCs w:val="24"/>
        </w:rPr>
      </w:pPr>
      <w:r w:rsidRPr="00C81872">
        <w:rPr>
          <w:rFonts w:eastAsia="Times New Roman" w:cs="Times New Roman"/>
          <w:b/>
          <w:bCs/>
          <w:sz w:val="24"/>
          <w:szCs w:val="24"/>
        </w:rPr>
        <w:t>PEMBAHASAN</w:t>
      </w:r>
    </w:p>
    <w:p w:rsidR="00DB64AE" w:rsidRPr="00C81872" w:rsidRDefault="00DB64AE" w:rsidP="0036065A">
      <w:pPr>
        <w:pStyle w:val="ListParagraph"/>
        <w:numPr>
          <w:ilvl w:val="0"/>
          <w:numId w:val="16"/>
        </w:numPr>
        <w:spacing w:after="0" w:line="240" w:lineRule="auto"/>
        <w:ind w:left="284" w:hanging="284"/>
        <w:contextualSpacing w:val="0"/>
        <w:jc w:val="both"/>
        <w:rPr>
          <w:rFonts w:cs="Times New Roman"/>
          <w:b/>
          <w:sz w:val="24"/>
          <w:szCs w:val="24"/>
        </w:rPr>
      </w:pPr>
      <w:r w:rsidRPr="00C81872">
        <w:rPr>
          <w:rFonts w:eastAsia="Times New Roman" w:cs="Times New Roman"/>
          <w:b/>
          <w:sz w:val="24"/>
          <w:szCs w:val="24"/>
        </w:rPr>
        <w:t>Pertanggungjawaban Perdata dari badan usaha pertambangan terhadap pencemaran lingkungan hidup menurut Undang-undang yang berlaku di Indonesia</w:t>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rPr>
      </w:pPr>
      <w:r w:rsidRPr="00C81872">
        <w:rPr>
          <w:rFonts w:eastAsia="Times New Roman" w:cs="Times New Roman"/>
          <w:sz w:val="24"/>
          <w:szCs w:val="24"/>
        </w:rPr>
        <w:t xml:space="preserve">Hukum lingkungan keperdataan bertujuan untuk memberikan perlindungan hukum bagi korban pencemaran lingkungan </w:t>
      </w:r>
      <w:r w:rsidRPr="00C81872">
        <w:rPr>
          <w:rFonts w:eastAsia="Times New Roman" w:cs="Times New Roman"/>
          <w:sz w:val="24"/>
          <w:szCs w:val="24"/>
        </w:rPr>
        <w:lastRenderedPageBreak/>
        <w:t>dengan cara mengajukan gugatan sengketa lingkungan diperadilan umum untuk mengganti kerugian. Penyelesaian sengketa lingkungan diartikan sebagai gugatan ganti kerugian atas dasar perbuatan melawan hukum dibidang lingkungan keperdataan oleh korban pencemaran lingkungan.</w:t>
      </w:r>
      <w:r w:rsidRPr="00C81872">
        <w:rPr>
          <w:rStyle w:val="FootnoteReference"/>
          <w:rFonts w:eastAsia="Times New Roman" w:cs="Times New Roman"/>
          <w:sz w:val="24"/>
          <w:szCs w:val="24"/>
        </w:rPr>
        <w:footnoteReference w:id="7"/>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rPr>
      </w:pPr>
      <w:r w:rsidRPr="00C81872">
        <w:rPr>
          <w:rFonts w:eastAsia="Times New Roman" w:cs="Times New Roman"/>
          <w:sz w:val="24"/>
          <w:szCs w:val="24"/>
        </w:rPr>
        <w:t>Perusahaan yang memiliki izin lingkungan ketika menjalankan usahanya ternyata ditemukan melakukan pelanggaran terhadap izin tersebut maka berdasarkan ketentuan Pasal 76 ayat (1) UU No.</w:t>
      </w:r>
      <w:r w:rsidRPr="00C81872">
        <w:rPr>
          <w:rFonts w:eastAsia="Times New Roman" w:cs="Times New Roman"/>
          <w:sz w:val="24"/>
          <w:szCs w:val="24"/>
          <w:lang w:val="en-US"/>
        </w:rPr>
        <w:t xml:space="preserve"> </w:t>
      </w:r>
      <w:r w:rsidRPr="00C81872">
        <w:rPr>
          <w:rFonts w:eastAsia="Times New Roman" w:cs="Times New Roman"/>
          <w:sz w:val="24"/>
          <w:szCs w:val="24"/>
        </w:rPr>
        <w:t>32 Tahun 2009 pejabat yang berwenang dapat menjatuhkan sanksi administratif. Adapun macam-macam sanksi administratif yang dikenal adalah teguran tertulis, paksaan pemerintah, pembekuan izin lingkungan, atau pencabutan izin lingkungan.</w:t>
      </w:r>
      <w:r w:rsidRPr="00C81872">
        <w:rPr>
          <w:rStyle w:val="FootnoteReference"/>
          <w:rFonts w:eastAsia="Times New Roman" w:cs="Times New Roman"/>
          <w:sz w:val="24"/>
          <w:szCs w:val="24"/>
        </w:rPr>
        <w:footnoteReference w:id="8"/>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rPr>
      </w:pPr>
      <w:r w:rsidRPr="00C81872">
        <w:rPr>
          <w:rFonts w:eastAsia="Times New Roman" w:cs="Times New Roman"/>
          <w:sz w:val="24"/>
          <w:szCs w:val="24"/>
        </w:rPr>
        <w:t>Dari bermacam-macam sanksi tersebut jika pelanggaran yang dilakukan perusahaan tergolong sedang maka pemerintah dapat memilih menjatuhkan sanksi yang berupa paksaan pemerintah. Paksaan pemerintah terdiri dari berbagai macam antara lain seperti yang disebut dalam pasal 80 Ayat (1) huruf e UU No.32 Tahun 2009 berupa tindakan penyitaan terhadap barang atau alat yang berpotensi menimbulkan pelanggaran.</w:t>
      </w:r>
      <w:r w:rsidRPr="00C81872">
        <w:rPr>
          <w:rStyle w:val="FootnoteReference"/>
          <w:rFonts w:eastAsia="Times New Roman" w:cs="Times New Roman"/>
          <w:sz w:val="24"/>
          <w:szCs w:val="24"/>
        </w:rPr>
        <w:footnoteReference w:id="9"/>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rPr>
      </w:pPr>
      <w:r w:rsidRPr="00C81872">
        <w:rPr>
          <w:rFonts w:eastAsia="Times New Roman" w:cs="Times New Roman"/>
          <w:sz w:val="24"/>
          <w:szCs w:val="24"/>
        </w:rPr>
        <w:t xml:space="preserve">Melihat ketentuan Pasal 76 ayat (1) dihubungkan dengan ketentuan pasal 80 ayat (1) huruf e tersebut tampaknya tidak sejalan karena pada pasal 76 ayat (1) mengatur sanksi administratif baru dapat dijatuhkan setelah ditemukan pelanggaran tetapi dalam pasal 80 ayat (1) huruf e pelanggaran izin lingkungan belum terjadi sebab penyitaan sudah dapat dilakukan jika barangnya berpotensi menimbulkan pelanggaran. Oleh karena pengaturannya </w:t>
      </w:r>
      <w:r w:rsidRPr="00C81872">
        <w:rPr>
          <w:rFonts w:eastAsia="Times New Roman" w:cs="Times New Roman"/>
          <w:sz w:val="24"/>
          <w:szCs w:val="24"/>
        </w:rPr>
        <w:lastRenderedPageBreak/>
        <w:t>tidak sejalan, maka peraturan tersebut menjadi kabur dan menyebabkan terjadinya ketidakpastian hukum  serta akan mengalami kesulitan dilaksanakan didalam praktik.</w:t>
      </w:r>
      <w:r w:rsidRPr="00C81872">
        <w:rPr>
          <w:rStyle w:val="FootnoteReference"/>
          <w:rFonts w:eastAsia="Times New Roman" w:cs="Times New Roman"/>
          <w:sz w:val="24"/>
          <w:szCs w:val="24"/>
        </w:rPr>
        <w:footnoteReference w:id="10"/>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rPr>
      </w:pPr>
      <w:r w:rsidRPr="00C81872">
        <w:rPr>
          <w:rFonts w:eastAsia="Times New Roman" w:cs="Times New Roman"/>
          <w:sz w:val="24"/>
          <w:szCs w:val="24"/>
        </w:rPr>
        <w:t>Kemudian masalah lainnya adalah yang menyangkut tindakan penyitaan, apakah lembaga penyitaan termasuk sanksi hukum? Dalam hukum pidana dan hukum perdata penyitaan bukan berupa sanksi hukum. Penyitaan merupakan tindakan sementara dalam rangka proses penyelesaian perkara dipengadilan. Terhadap barang yang disita harus jelas statusnya akan dikemanakan, untuk perkara pidana barang yang disita nantinya akan diputus pengadilan dikembalikan kepada yang berhak, dirampas untuk dimusnahkan, atau dirampas untuk kepentingan negara. Sedangkan dalam perkara perdata barang yang disita diserahkan atau dilelang untuk digunakan sebagai pembayaran kepada penggugat yang menang perkara.</w:t>
      </w:r>
      <w:r w:rsidRPr="00C81872">
        <w:rPr>
          <w:rStyle w:val="FootnoteReference"/>
          <w:rFonts w:eastAsia="Times New Roman" w:cs="Times New Roman"/>
          <w:sz w:val="24"/>
          <w:szCs w:val="24"/>
        </w:rPr>
        <w:footnoteReference w:id="11"/>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rPr>
      </w:pPr>
      <w:r w:rsidRPr="00C81872">
        <w:rPr>
          <w:rFonts w:cs="Times New Roman"/>
          <w:sz w:val="24"/>
          <w:szCs w:val="24"/>
        </w:rPr>
        <w:t>Semua perselisihan mengenai lingkungan hidup atau juga dinamakan perselisihan mengenai hak-hak perdata (artinya hak-hak yang berdasarkan hukum perdata atau hukum sipil) adalah semata-mata termasuk kekuasaan atau wewenang hakim atau pengadilan untuk memutuskannya, dalam hal ini hakim atau pengadilan perdata. Hakim atau pengadilan ini merupakan alat perlengkapan dalam satu negara hukum yang ditugaskan menetapkan perhubungan hukum yang sebenarnya antara dua pihak yang terlibat dalam perselisihan atau persengketaan tadi.</w:t>
      </w:r>
      <w:r w:rsidRPr="00C81872">
        <w:rPr>
          <w:rStyle w:val="FootnoteReference"/>
          <w:rFonts w:cs="Times New Roman"/>
          <w:sz w:val="24"/>
          <w:szCs w:val="24"/>
        </w:rPr>
        <w:footnoteReference w:id="12"/>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 xml:space="preserve">Aspek hukum perdata, pencemaran dan/atau perusak lingkungan wajib membayar ganti rugi dan/ atau melakukan tindakan tertentu (Pasal </w:t>
      </w:r>
      <w:r w:rsidRPr="00C81872">
        <w:rPr>
          <w:rFonts w:eastAsia="Times New Roman" w:cs="Times New Roman"/>
          <w:sz w:val="24"/>
          <w:szCs w:val="24"/>
          <w:lang w:val="en-US"/>
        </w:rPr>
        <w:t>87 UU-PPLH 2009)</w:t>
      </w:r>
      <w:r w:rsidRPr="00C81872">
        <w:rPr>
          <w:rFonts w:eastAsia="Times New Roman" w:cs="Times New Roman"/>
          <w:sz w:val="24"/>
          <w:szCs w:val="24"/>
        </w:rPr>
        <w:t xml:space="preserve">. </w:t>
      </w:r>
      <w:r w:rsidRPr="00C81872">
        <w:rPr>
          <w:rFonts w:eastAsia="Times New Roman" w:cs="Times New Roman"/>
          <w:sz w:val="24"/>
          <w:szCs w:val="24"/>
        </w:rPr>
        <w:lastRenderedPageBreak/>
        <w:t>Pada saat melakukan tindakan tertentu tersebut, hakim dapat menetapkan pembayaran uang paksa atas setiap hari keterlambatan penyelesaian tindakan tertentu itu. Seperti telah disadari bahwa akibat terbesar dari pencemaran dan/ atau perusakan lingkungan, umumnya tidaklah secara langsung dipikul oleh manusia, tetapi oleh lingkungan itu sendiri. Baru kemudian nantinya mengena pada manusia sebagai akibat ketidakmampuan lingkungan mendukung kehidupan manusia di alam.</w:t>
      </w:r>
      <w:r w:rsidRPr="00C81872">
        <w:rPr>
          <w:rStyle w:val="FootnoteReference"/>
          <w:rFonts w:eastAsia="Times New Roman" w:cs="Times New Roman"/>
          <w:sz w:val="24"/>
          <w:szCs w:val="24"/>
        </w:rPr>
        <w:footnoteReference w:id="13"/>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Penyelesaian sengketa dalam aspek hukum perdata berupa ganti rugi umumnya didasarkan atas:</w:t>
      </w:r>
    </w:p>
    <w:p w:rsidR="00DB64AE" w:rsidRPr="00C81872" w:rsidRDefault="00DB64AE" w:rsidP="00C81872">
      <w:pPr>
        <w:spacing w:after="0" w:line="240" w:lineRule="auto"/>
        <w:ind w:left="284" w:hanging="284"/>
        <w:jc w:val="both"/>
        <w:rPr>
          <w:rFonts w:eastAsia="Times New Roman" w:cs="Times New Roman"/>
          <w:sz w:val="24"/>
          <w:szCs w:val="24"/>
        </w:rPr>
      </w:pPr>
      <w:r w:rsidRPr="00C81872">
        <w:rPr>
          <w:rFonts w:eastAsia="Times New Roman" w:cs="Times New Roman"/>
          <w:sz w:val="24"/>
          <w:szCs w:val="24"/>
        </w:rPr>
        <w:t>a. Tidak dipenuhinya kewajiban perjanjian sebagaimana tercantum dalam Pasal 1243 KUH Perdata;</w:t>
      </w:r>
    </w:p>
    <w:p w:rsidR="00DB64AE" w:rsidRPr="00C81872" w:rsidRDefault="00DB64AE" w:rsidP="00C81872">
      <w:pPr>
        <w:spacing w:after="0" w:line="240" w:lineRule="auto"/>
        <w:ind w:left="284" w:hanging="284"/>
        <w:jc w:val="both"/>
        <w:rPr>
          <w:rFonts w:eastAsia="Times New Roman" w:cs="Times New Roman"/>
          <w:sz w:val="24"/>
          <w:szCs w:val="24"/>
        </w:rPr>
      </w:pPr>
      <w:r w:rsidRPr="00C81872">
        <w:rPr>
          <w:rFonts w:eastAsia="Times New Roman" w:cs="Times New Roman"/>
          <w:sz w:val="24"/>
          <w:szCs w:val="24"/>
        </w:rPr>
        <w:t>b. Perbuatan melawan hukum, sebagaimana tercantum dalam pasal 1365 KUH Perdata.</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 xml:space="preserve">Pada kasus perdata, prinsip yang digunakan pada umumnya adalah </w:t>
      </w:r>
      <w:r w:rsidRPr="00C81872">
        <w:rPr>
          <w:rFonts w:eastAsia="Times New Roman" w:cs="Times New Roman"/>
          <w:i/>
          <w:sz w:val="24"/>
          <w:szCs w:val="24"/>
        </w:rPr>
        <w:t>“liability based on fault”</w:t>
      </w:r>
      <w:r w:rsidRPr="00C81872">
        <w:rPr>
          <w:rFonts w:eastAsia="Times New Roman" w:cs="Times New Roman"/>
          <w:sz w:val="24"/>
          <w:szCs w:val="24"/>
        </w:rPr>
        <w:t>. Prinsip ini mensyaratkan proses pembuktian kesalahan dari pencemar dibebankan pada korban pencemaran/ penggugat. Dengan demikian penggugat baru akan memperoleh ganti rugi jika ia berhasil membuktikan adanya unsur kesalahan dari pihak pencemar/tergugat. Kesalahan merupakan unsur yang menentukan pertanggungjawaban, dengan demikian jika tidak terbukti bersalah, maka tidak ada kewajiban membayar ganti kerugian. Sedangkan bagi usaha dan/atau kegiatan yang usaha dan kewajibannya menimbulkan:</w:t>
      </w:r>
      <w:r w:rsidRPr="00C81872">
        <w:rPr>
          <w:rStyle w:val="FootnoteReference"/>
          <w:rFonts w:eastAsia="Times New Roman" w:cs="Times New Roman"/>
          <w:sz w:val="24"/>
          <w:szCs w:val="24"/>
        </w:rPr>
        <w:footnoteReference w:id="14"/>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a). Dampak besar dan penting terhadap lingkungan;</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b). Menggunakan bahan berbahaya dan beracun; dan/ atau</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c). Menghasilkan limbah B3.</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lastRenderedPageBreak/>
        <w:t>M</w:t>
      </w:r>
      <w:r w:rsidRPr="00C81872">
        <w:rPr>
          <w:rFonts w:eastAsia="Times New Roman" w:cs="Times New Roman"/>
          <w:sz w:val="24"/>
          <w:szCs w:val="24"/>
        </w:rPr>
        <w:t>aka seluruh usaha dan kegiatan ini bertanggung jawab secara mutlak atas kerugian yang ditimbulkannya.</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cs="Times New Roman"/>
          <w:sz w:val="24"/>
          <w:szCs w:val="24"/>
        </w:rPr>
        <w:t>Besarnya nilai ganti rugi yang dapat dibebankan terhadap pencemar atau perusak lingkungan hidup menurut Pasal 88 UU No. 32 Tahun 2009 dapat ditetapkan sampai batas tertentu. Yang dimaksud dengan “sampai batas</w:t>
      </w:r>
      <w:r w:rsidRPr="00C81872">
        <w:rPr>
          <w:rFonts w:cs="Times New Roman"/>
          <w:sz w:val="24"/>
          <w:szCs w:val="24"/>
          <w:lang w:val="en-US"/>
        </w:rPr>
        <w:t xml:space="preserve"> waktu</w:t>
      </w:r>
      <w:r w:rsidRPr="00C81872">
        <w:rPr>
          <w:rFonts w:cs="Times New Roman"/>
          <w:sz w:val="24"/>
          <w:szCs w:val="24"/>
        </w:rPr>
        <w:t xml:space="preserve"> tertentu” adalah jika menurut penetapan peraturan perundang-undangan ditentukan keharusan asuransi bagi usaha dan/atau kegiatan yang bersangkutan atau telah tersedia dana lingkungan hidup.</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 xml:space="preserve">Selanjutnya penjelasan </w:t>
      </w:r>
      <w:r w:rsidRPr="00C81872">
        <w:rPr>
          <w:rFonts w:eastAsia="Times New Roman" w:cs="Times New Roman"/>
          <w:sz w:val="24"/>
          <w:szCs w:val="24"/>
          <w:lang w:val="en-US"/>
        </w:rPr>
        <w:t>didalam</w:t>
      </w:r>
      <w:r w:rsidRPr="00C81872">
        <w:rPr>
          <w:rFonts w:eastAsia="Times New Roman" w:cs="Times New Roman"/>
          <w:sz w:val="24"/>
          <w:szCs w:val="24"/>
        </w:rPr>
        <w:t xml:space="preserve"> UU No. </w:t>
      </w:r>
      <w:r w:rsidRPr="00C81872">
        <w:rPr>
          <w:rFonts w:eastAsia="Times New Roman" w:cs="Times New Roman"/>
          <w:sz w:val="24"/>
          <w:szCs w:val="24"/>
          <w:lang w:val="en-US"/>
        </w:rPr>
        <w:t>32</w:t>
      </w:r>
      <w:r w:rsidRPr="00C81872">
        <w:rPr>
          <w:rFonts w:eastAsia="Times New Roman" w:cs="Times New Roman"/>
          <w:sz w:val="24"/>
          <w:szCs w:val="24"/>
        </w:rPr>
        <w:t xml:space="preserve"> Tahun </w:t>
      </w:r>
      <w:r w:rsidRPr="00C81872">
        <w:rPr>
          <w:rFonts w:eastAsia="Times New Roman" w:cs="Times New Roman"/>
          <w:sz w:val="24"/>
          <w:szCs w:val="24"/>
          <w:lang w:val="en-US"/>
        </w:rPr>
        <w:t>2009</w:t>
      </w:r>
      <w:r w:rsidRPr="00C81872">
        <w:rPr>
          <w:rFonts w:eastAsia="Times New Roman" w:cs="Times New Roman"/>
          <w:sz w:val="24"/>
          <w:szCs w:val="24"/>
        </w:rPr>
        <w:t xml:space="preserve"> menyebutkan bahwa tanggung jawab mutlak atau </w:t>
      </w:r>
      <w:r w:rsidRPr="00C81872">
        <w:rPr>
          <w:rFonts w:eastAsia="Times New Roman" w:cs="Times New Roman"/>
          <w:i/>
          <w:sz w:val="24"/>
          <w:szCs w:val="24"/>
        </w:rPr>
        <w:t>strict liability</w:t>
      </w:r>
      <w:r w:rsidRPr="00C81872">
        <w:rPr>
          <w:rFonts w:eastAsia="Times New Roman" w:cs="Times New Roman"/>
          <w:sz w:val="24"/>
          <w:szCs w:val="24"/>
        </w:rPr>
        <w:t xml:space="preserve"> berarti unsur kesalahan tidak perlu dibuktikan oleh penggugat. Tanggung jawab mutlak ini merupakan </w:t>
      </w:r>
      <w:r w:rsidRPr="00C81872">
        <w:rPr>
          <w:rFonts w:eastAsia="Times New Roman" w:cs="Times New Roman"/>
          <w:i/>
          <w:sz w:val="24"/>
          <w:szCs w:val="24"/>
        </w:rPr>
        <w:t>“lex specialis”</w:t>
      </w:r>
      <w:r w:rsidRPr="00C81872">
        <w:rPr>
          <w:rFonts w:eastAsia="Times New Roman" w:cs="Times New Roman"/>
          <w:sz w:val="24"/>
          <w:szCs w:val="24"/>
        </w:rPr>
        <w:t xml:space="preserve"> dari perbuatan melanggar hukum pada umumnya, yaitu </w:t>
      </w:r>
      <w:r w:rsidRPr="00C81872">
        <w:rPr>
          <w:rFonts w:eastAsia="Times New Roman" w:cs="Times New Roman"/>
          <w:i/>
          <w:sz w:val="24"/>
          <w:szCs w:val="24"/>
        </w:rPr>
        <w:t>liability based on fault</w:t>
      </w:r>
      <w:r w:rsidRPr="00C81872">
        <w:rPr>
          <w:rFonts w:eastAsia="Times New Roman" w:cs="Times New Roman"/>
          <w:sz w:val="24"/>
          <w:szCs w:val="24"/>
        </w:rPr>
        <w:t>. Dengan demikian prinsip tanggung jawab mutlak tidak diperlakukan secara umum pada semua kegiatan yang dapat menimbulkan pencemaran dan/ atau perusakan lingkungan hidup. Tanggung jawab mutlak tidak berlaku jika pencemaran dan/atau perusakan lingkungan hidup terjadi disebabkan oleh:</w:t>
      </w:r>
      <w:r w:rsidRPr="00C81872">
        <w:rPr>
          <w:rStyle w:val="FootnoteReference"/>
          <w:rFonts w:eastAsia="Times New Roman" w:cs="Times New Roman"/>
          <w:sz w:val="24"/>
          <w:szCs w:val="24"/>
        </w:rPr>
        <w:footnoteReference w:id="15"/>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a). Adanya bencana alam atau peperangan;</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b). Adanya keadaan terpaksa di luar kemampuan manusia; dan</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c). Tindakan pihak ketiga.</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ab/>
        <w:t>Terjadi sengketa (termasuk didalamnya sengketa lingkungan) merupakan suatu yang tidak dikehendaki</w:t>
      </w:r>
      <w:r w:rsidRPr="00C81872">
        <w:rPr>
          <w:rFonts w:eastAsia="Times New Roman" w:cs="Times New Roman"/>
          <w:sz w:val="24"/>
          <w:szCs w:val="24"/>
          <w:lang w:val="en-US"/>
        </w:rPr>
        <w:t xml:space="preserve"> </w:t>
      </w:r>
      <w:r w:rsidRPr="00C81872">
        <w:rPr>
          <w:rFonts w:eastAsia="Times New Roman" w:cs="Times New Roman"/>
          <w:sz w:val="24"/>
          <w:szCs w:val="24"/>
        </w:rPr>
        <w:t xml:space="preserve">namun apabila terjadi maka harus diselesaikan dengan cara yang memadai. Para pihak yang bersengketa dapat memilih berbagai mekanisme penyelesaian sengketa lingkungan yang menguntungkan, yaitu memilih cara penyelesaian sengketa lingkungan yang tepat, praktis,efektif, </w:t>
      </w:r>
      <w:r w:rsidRPr="00C81872">
        <w:rPr>
          <w:rFonts w:eastAsia="Times New Roman" w:cs="Times New Roman"/>
          <w:sz w:val="24"/>
          <w:szCs w:val="24"/>
        </w:rPr>
        <w:lastRenderedPageBreak/>
        <w:t>efisien, pragmatis, kooperatif, serta prospektif.</w:t>
      </w:r>
      <w:r w:rsidRPr="00C81872">
        <w:rPr>
          <w:rStyle w:val="FootnoteReference"/>
          <w:rFonts w:eastAsia="Times New Roman" w:cs="Times New Roman"/>
          <w:sz w:val="24"/>
          <w:szCs w:val="24"/>
        </w:rPr>
        <w:footnoteReference w:id="16"/>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ab/>
        <w:t>Terdapat beberapa alternatif cara penyelesaian sengketa lingkungan. Pertama, melauli lembaga peradilan negara, kedua diluar lembaga peradilan. Pada cara yang pertama lembaga peradilan sebagai institusi negara, berwenang menjalankan kekuasaan kehakiman dalam menerima, memeriksa, serta memutus perkara atau sengketa hukum  yang diajukan kepadanya. Sedangkan cara yang kedua, penyelesaian sengketa lingkungan diluar pengadilan berdasarkan pilihan dan kesepakatan para pihak sebagai wujud aktualisasi peran serta masyarakat untuk menyelesaikan sengketa secara kooperatif.</w:t>
      </w:r>
      <w:r w:rsidRPr="00C81872">
        <w:rPr>
          <w:rStyle w:val="FootnoteReference"/>
          <w:rFonts w:eastAsia="Times New Roman" w:cs="Times New Roman"/>
          <w:sz w:val="24"/>
          <w:szCs w:val="24"/>
        </w:rPr>
        <w:footnoteReference w:id="17"/>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 xml:space="preserve">Didalam aspek hukum Pidana Pasal </w:t>
      </w:r>
      <w:r w:rsidRPr="00C81872">
        <w:rPr>
          <w:rFonts w:eastAsia="Times New Roman" w:cs="Times New Roman"/>
          <w:sz w:val="24"/>
          <w:szCs w:val="24"/>
          <w:lang w:val="en-US"/>
        </w:rPr>
        <w:t>97</w:t>
      </w:r>
      <w:r w:rsidRPr="00C81872">
        <w:rPr>
          <w:rFonts w:eastAsia="Times New Roman" w:cs="Times New Roman"/>
          <w:sz w:val="24"/>
          <w:szCs w:val="24"/>
        </w:rPr>
        <w:t xml:space="preserve"> UU No. </w:t>
      </w:r>
      <w:r w:rsidRPr="00C81872">
        <w:rPr>
          <w:rFonts w:eastAsia="Times New Roman" w:cs="Times New Roman"/>
          <w:sz w:val="24"/>
          <w:szCs w:val="24"/>
          <w:lang w:val="en-US"/>
        </w:rPr>
        <w:t>32</w:t>
      </w:r>
      <w:r w:rsidRPr="00C81872">
        <w:rPr>
          <w:rFonts w:eastAsia="Times New Roman" w:cs="Times New Roman"/>
          <w:sz w:val="24"/>
          <w:szCs w:val="24"/>
        </w:rPr>
        <w:t xml:space="preserve"> Tahun </w:t>
      </w:r>
      <w:r w:rsidRPr="00C81872">
        <w:rPr>
          <w:rFonts w:eastAsia="Times New Roman" w:cs="Times New Roman"/>
          <w:sz w:val="24"/>
          <w:szCs w:val="24"/>
          <w:lang w:val="en-US"/>
        </w:rPr>
        <w:t>2009</w:t>
      </w:r>
      <w:r w:rsidRPr="00C81872">
        <w:rPr>
          <w:rFonts w:eastAsia="Times New Roman" w:cs="Times New Roman"/>
          <w:sz w:val="24"/>
          <w:szCs w:val="24"/>
        </w:rPr>
        <w:t xml:space="preserve"> mengisyaratkan bahwa pidana penjara dan denda dapat dikenakan secara bersamaan bagi pencemar dan/atau perusak lingkungan hidup, baik secara melawan hukum atau sengaja, maupun karena kealpaan. Namun perlu dikemukakan bahwa hukum pidana hendaknya didayagunakan dengan memperhatikan asas subsidiaritas, yaitu jika:</w:t>
      </w:r>
      <w:r w:rsidRPr="00C81872">
        <w:rPr>
          <w:rStyle w:val="FootnoteReference"/>
          <w:rFonts w:eastAsia="Times New Roman" w:cs="Times New Roman"/>
          <w:sz w:val="24"/>
          <w:szCs w:val="24"/>
        </w:rPr>
        <w:footnoteReference w:id="18"/>
      </w:r>
    </w:p>
    <w:p w:rsidR="00DB64AE" w:rsidRPr="00C81872" w:rsidRDefault="00DB64AE" w:rsidP="00C81872">
      <w:pPr>
        <w:spacing w:after="0" w:line="240" w:lineRule="auto"/>
        <w:ind w:left="284" w:hanging="284"/>
        <w:jc w:val="both"/>
        <w:rPr>
          <w:rFonts w:eastAsia="Times New Roman" w:cs="Times New Roman"/>
          <w:sz w:val="24"/>
          <w:szCs w:val="24"/>
        </w:rPr>
      </w:pPr>
      <w:r w:rsidRPr="00C81872">
        <w:rPr>
          <w:rFonts w:eastAsia="Times New Roman" w:cs="Times New Roman"/>
          <w:sz w:val="24"/>
          <w:szCs w:val="24"/>
        </w:rPr>
        <w:t>1. Sanksi bidang hukum lain, yakni sanksi administratif, dan sanksi perdata serta upaya penyelesaian sengketa lingkungan hidup di luar pengadilan tidak efekti</w:t>
      </w:r>
      <w:r w:rsidRPr="00C81872">
        <w:rPr>
          <w:rFonts w:eastAsia="Times New Roman" w:cs="Times New Roman"/>
          <w:sz w:val="24"/>
          <w:szCs w:val="24"/>
          <w:lang w:val="en-US"/>
        </w:rPr>
        <w:t>f</w:t>
      </w:r>
      <w:r w:rsidRPr="00C81872">
        <w:rPr>
          <w:rFonts w:eastAsia="Times New Roman" w:cs="Times New Roman"/>
          <w:sz w:val="24"/>
          <w:szCs w:val="24"/>
        </w:rPr>
        <w:t>.</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2. Tingkat kesalahan pelaku relatif berat;</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3. Akibat perbuatannya relatif besar; dan</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4. Perbuatannya menimbulkan keresahan bagi masyarakat.</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rPr>
        <w:t xml:space="preserve">Diutamakannya sanksi perdata dibanding dengan sanksi pidana merupakan hal yang wajar mengingat “akibat” yang ditimbulkan </w:t>
      </w:r>
      <w:r w:rsidRPr="00C81872">
        <w:rPr>
          <w:rFonts w:eastAsia="Times New Roman" w:cs="Times New Roman"/>
          <w:sz w:val="24"/>
          <w:szCs w:val="24"/>
        </w:rPr>
        <w:lastRenderedPageBreak/>
        <w:t>dari suatu pencemaran dan/ atau perusakan lingkungan hidup.</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Dalam UUPPLH dasar hukum tentang penyelesaian sengketa lingkungan diatur dalam BAB XIII yang berjudul PENYELESAIAN LINGKUNGAN. Pasal 84 menentukan:</w:t>
      </w:r>
      <w:r w:rsidRPr="00C81872">
        <w:rPr>
          <w:rStyle w:val="FootnoteReference"/>
          <w:rFonts w:eastAsia="Times New Roman" w:cs="Times New Roman"/>
          <w:sz w:val="24"/>
          <w:szCs w:val="24"/>
        </w:rPr>
        <w:footnoteReference w:id="19"/>
      </w:r>
    </w:p>
    <w:p w:rsidR="00DB64AE" w:rsidRPr="00C81872" w:rsidRDefault="00DB64AE" w:rsidP="00C81872">
      <w:pPr>
        <w:pStyle w:val="ListParagraph"/>
        <w:numPr>
          <w:ilvl w:val="0"/>
          <w:numId w:val="18"/>
        </w:numPr>
        <w:spacing w:after="0" w:line="240" w:lineRule="auto"/>
        <w:contextualSpacing w:val="0"/>
        <w:jc w:val="both"/>
        <w:rPr>
          <w:rFonts w:eastAsia="Times New Roman" w:cs="Times New Roman"/>
          <w:sz w:val="24"/>
          <w:szCs w:val="24"/>
        </w:rPr>
      </w:pPr>
      <w:r w:rsidRPr="00C81872">
        <w:rPr>
          <w:rFonts w:eastAsia="Times New Roman" w:cs="Times New Roman"/>
          <w:sz w:val="24"/>
          <w:szCs w:val="24"/>
        </w:rPr>
        <w:t>Penyelesain sengketa lingkungan hidup dapat ditempuh melalui pengadilan atau diluar pengadilan</w:t>
      </w:r>
    </w:p>
    <w:p w:rsidR="00DB64AE" w:rsidRPr="00C81872" w:rsidRDefault="00DB64AE" w:rsidP="00C81872">
      <w:pPr>
        <w:pStyle w:val="ListParagraph"/>
        <w:numPr>
          <w:ilvl w:val="0"/>
          <w:numId w:val="18"/>
        </w:numPr>
        <w:spacing w:after="0" w:line="240" w:lineRule="auto"/>
        <w:contextualSpacing w:val="0"/>
        <w:jc w:val="both"/>
        <w:rPr>
          <w:rFonts w:eastAsia="Times New Roman" w:cs="Times New Roman"/>
          <w:sz w:val="24"/>
          <w:szCs w:val="24"/>
        </w:rPr>
      </w:pPr>
      <w:r w:rsidRPr="00C81872">
        <w:rPr>
          <w:rFonts w:eastAsia="Times New Roman" w:cs="Times New Roman"/>
          <w:sz w:val="24"/>
          <w:szCs w:val="24"/>
        </w:rPr>
        <w:t>Pilihan penyelesaian sengketa lingkungan hidup dilakukan secara sukarela</w:t>
      </w:r>
      <w:r w:rsidRPr="00C81872">
        <w:rPr>
          <w:rFonts w:eastAsia="Times New Roman" w:cs="Times New Roman"/>
          <w:sz w:val="24"/>
          <w:szCs w:val="24"/>
          <w:lang w:val="en-US"/>
        </w:rPr>
        <w:t xml:space="preserve"> </w:t>
      </w:r>
      <w:r w:rsidRPr="00C81872">
        <w:rPr>
          <w:rFonts w:eastAsia="Times New Roman" w:cs="Times New Roman"/>
          <w:sz w:val="24"/>
          <w:szCs w:val="24"/>
        </w:rPr>
        <w:t>oleh para pihak yang bersengketa</w:t>
      </w:r>
    </w:p>
    <w:p w:rsidR="00DB64AE" w:rsidRPr="00C81872" w:rsidRDefault="00DB64AE" w:rsidP="00C81872">
      <w:pPr>
        <w:pStyle w:val="ListParagraph"/>
        <w:numPr>
          <w:ilvl w:val="0"/>
          <w:numId w:val="18"/>
        </w:numPr>
        <w:spacing w:after="0" w:line="240" w:lineRule="auto"/>
        <w:contextualSpacing w:val="0"/>
        <w:jc w:val="both"/>
        <w:rPr>
          <w:rFonts w:eastAsia="Times New Roman" w:cs="Times New Roman"/>
          <w:sz w:val="24"/>
          <w:szCs w:val="24"/>
        </w:rPr>
      </w:pPr>
      <w:r w:rsidRPr="00C81872">
        <w:rPr>
          <w:rFonts w:eastAsia="Times New Roman" w:cs="Times New Roman"/>
          <w:sz w:val="24"/>
          <w:szCs w:val="24"/>
        </w:rPr>
        <w:t>Gugatan melalui pengadilan hanya dapat ditempuh apabila upaya penyelesaiannya sengketa lingkungan diluar pengadilan yang dipilih dinyatakan tidak berhasil oleh salah satu atau para pihak yang bersengketa.</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Berdasarkan ketentuan pasal 84 ayat (2) UUPPLH dapat diketahui bahwa penyelesain sengketa lingkungan dapat dilakukan melalui pengadilan atau diluar pengadilan. Sesuai ketentuan pasal 84 ayat (2) pilihan penyelesaian sengketa lingkungan melalui pengadilan atau diluar pengadilan diserahkan sepenuhnya oleh para pihak yang bersengketa secara sukarela.</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Namun, ketentuan pasal 84 ayat (2) akan jadi membingungkan bila dikaitkan dengan ketentuan pasal 84 ayat (3) nya. Menurut pasal 84 ayat (3) gugatan sengketa lingkungan ke pengadilan hanya dapat dilakukan apabila upaya penyelesaian sengketa lingkungan di luar pengadilan dinyatakan tidak berhasil oleh satu atau para pihak yang bersengketa. Apakah dengan demikian penyelesaian sengketa lingkungan wajib diselesaikan terlebih dahulu melalui luar pengadilan dan baru dapat diselesaikan melalui pengadilan?</w:t>
      </w:r>
      <w:r w:rsidRPr="00C81872">
        <w:rPr>
          <w:rFonts w:eastAsia="Times New Roman" w:cs="Times New Roman"/>
          <w:sz w:val="24"/>
          <w:szCs w:val="24"/>
        </w:rPr>
        <w:t xml:space="preserve"> </w:t>
      </w:r>
      <w:r w:rsidRPr="00C81872">
        <w:rPr>
          <w:rFonts w:eastAsia="Times New Roman" w:cs="Times New Roman"/>
          <w:sz w:val="24"/>
          <w:szCs w:val="24"/>
          <w:lang w:val="en-US"/>
        </w:rPr>
        <w:lastRenderedPageBreak/>
        <w:t>Berdasarkan ketentuan pasal 84 ayat (3) UUPPLH ini tidak berarti bahwa penyelesaian sengketa lingkungan harus diselesaikan melalui luar pengadilan dan baru dapat ditempuh melalui pengadilan. Hukum positif tidak menghalangi jalur penyelesaian sengketa lingkungan mana yang lebih dulu di tempuh para pihak yang bersengketa. Bukankah secara yuridis penderita (korban) pencemaran-perusakan lingkungan dapat langsung menggugat ganti kerugian kepada pengadilan berdasarkan pasal 1365 BW ? para pihak tidak diwajibkan untuk lebih dahulu menyelesaikan sengketa lingkungan diluar pengadilan. Pasal 30 ayat (3) UUPLH (sekarang pasal 84 ayat (3) UUPPLH) dapat dimaknai, apabila para pihak yang bersengketa memilih jalur penyelesaian sengketa diluar pengadilan, namun tidak tercapai kata sepakat, masih terbuka kemungkinan untuk berperkara di pengadilan. Apabila pasal 84 ayat (3) dimaknai bahnwa penyelesaian sengketa lingkungan harus ditempuh lebih dahulu melalui luar pengadilan dan baru kemudian ditempuh melalui pengadilan maka penyelesaian sengketa lingkungan akan menempuh jalan yang panjang dan bertele-tele sehingga tidak dengan segera mendapatkan kepastian hukum atas sengketa lingkungan yang terjadi.</w:t>
      </w:r>
      <w:r w:rsidRPr="00C81872">
        <w:rPr>
          <w:rStyle w:val="FootnoteReference"/>
          <w:rFonts w:eastAsia="Times New Roman" w:cs="Times New Roman"/>
          <w:sz w:val="24"/>
          <w:szCs w:val="24"/>
          <w:lang w:val="en-US"/>
        </w:rPr>
        <w:footnoteReference w:id="20"/>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Dalam prakteknya, apa yang dirumuskan dalam pasal 84 ayat (3) ini sering menimbulkan salah pengertian di kalangan para penegak hukum terutama hakim Pengadilan Negeri, yang menyatakan bahwa gugatan ganti kerugian dalam sengketa lingkungan hanya dapat diajukan setelah selesai ditempuh prosedur penyelesaian sengketa lingkungan diluar pengadilan. Hal ini terbukti dari ditolaknya gugatan lingkungan (</w:t>
      </w:r>
      <w:r w:rsidRPr="00C81872">
        <w:rPr>
          <w:rFonts w:eastAsia="Times New Roman" w:cs="Times New Roman"/>
          <w:i/>
          <w:sz w:val="24"/>
          <w:szCs w:val="24"/>
          <w:lang w:val="en-US"/>
        </w:rPr>
        <w:t xml:space="preserve">“niet ontvankelijk </w:t>
      </w:r>
      <w:r w:rsidRPr="00C81872">
        <w:rPr>
          <w:rFonts w:eastAsia="Times New Roman" w:cs="Times New Roman"/>
          <w:i/>
          <w:sz w:val="24"/>
          <w:szCs w:val="24"/>
          <w:lang w:val="en-US"/>
        </w:rPr>
        <w:lastRenderedPageBreak/>
        <w:t xml:space="preserve">verklaard” = </w:t>
      </w:r>
      <w:r w:rsidRPr="00C81872">
        <w:rPr>
          <w:rFonts w:eastAsia="Times New Roman" w:cs="Times New Roman"/>
          <w:sz w:val="24"/>
          <w:szCs w:val="24"/>
          <w:lang w:val="en-US"/>
        </w:rPr>
        <w:t>”n.o” = dinyatakan tidak dapat diterima) oleh :</w:t>
      </w:r>
      <w:r w:rsidRPr="00C81872">
        <w:rPr>
          <w:rStyle w:val="FootnoteReference"/>
          <w:rFonts w:eastAsia="Times New Roman" w:cs="Times New Roman"/>
          <w:sz w:val="24"/>
          <w:szCs w:val="24"/>
          <w:lang w:val="en-US"/>
        </w:rPr>
        <w:footnoteReference w:id="21"/>
      </w:r>
    </w:p>
    <w:p w:rsidR="00DB64AE" w:rsidRPr="00C81872" w:rsidRDefault="00DB64AE" w:rsidP="00D24978">
      <w:pPr>
        <w:pStyle w:val="ListParagraph"/>
        <w:numPr>
          <w:ilvl w:val="0"/>
          <w:numId w:val="19"/>
        </w:numPr>
        <w:spacing w:after="0" w:line="240" w:lineRule="auto"/>
        <w:ind w:left="426"/>
        <w:contextualSpacing w:val="0"/>
        <w:jc w:val="both"/>
        <w:rPr>
          <w:rFonts w:eastAsia="Times New Roman" w:cs="Times New Roman"/>
          <w:sz w:val="24"/>
          <w:szCs w:val="24"/>
          <w:lang w:val="en-US"/>
        </w:rPr>
      </w:pPr>
      <w:r w:rsidRPr="00C81872">
        <w:rPr>
          <w:rFonts w:eastAsia="Times New Roman" w:cs="Times New Roman"/>
          <w:sz w:val="24"/>
          <w:szCs w:val="24"/>
          <w:lang w:val="en-US"/>
        </w:rPr>
        <w:t>Pengadilan Negeri Medan, dalam putusannya tanggal 11 Juli 1989 Nomor : 154/Pdt.G/1989/PN.MDN.</w:t>
      </w:r>
    </w:p>
    <w:p w:rsidR="00DB64AE" w:rsidRPr="00C81872" w:rsidRDefault="00DB64AE" w:rsidP="00D24978">
      <w:pPr>
        <w:pStyle w:val="ListParagraph"/>
        <w:numPr>
          <w:ilvl w:val="0"/>
          <w:numId w:val="19"/>
        </w:numPr>
        <w:spacing w:after="0" w:line="240" w:lineRule="auto"/>
        <w:ind w:left="426"/>
        <w:contextualSpacing w:val="0"/>
        <w:jc w:val="both"/>
        <w:rPr>
          <w:rFonts w:eastAsia="Times New Roman" w:cs="Times New Roman"/>
          <w:sz w:val="24"/>
          <w:szCs w:val="24"/>
          <w:lang w:val="en-US"/>
        </w:rPr>
      </w:pPr>
      <w:r w:rsidRPr="00C81872">
        <w:rPr>
          <w:rFonts w:eastAsia="Times New Roman" w:cs="Times New Roman"/>
          <w:sz w:val="24"/>
          <w:szCs w:val="24"/>
          <w:lang w:val="en-US"/>
        </w:rPr>
        <w:t>Pengadilan Negeri Surabaya terhadap kasus PT SSS dengan putusan Nomor : 373/PDT.G./1991/PN.SBY, tanggal 18 Juli 1993.</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 xml:space="preserve">Kedua perkara diatas diajukan saat berlakunya Undang-Undang Nomor 4 Tahun 1982 tentang Ketentuan-ketentuan pokok pengelolaan lingkungan hidup (UULH). Ditolaknya gugatan lingkungan ini disebabkan adanya kesalahan persepsi Hakim tentang ketidakjelasan </w:t>
      </w:r>
      <w:r w:rsidRPr="00C81872">
        <w:rPr>
          <w:rFonts w:eastAsia="Times New Roman" w:cs="Times New Roman"/>
          <w:sz w:val="24"/>
          <w:szCs w:val="24"/>
          <w:lang w:val="en-US"/>
        </w:rPr>
        <w:t>p</w:t>
      </w:r>
      <w:r w:rsidRPr="00C81872">
        <w:rPr>
          <w:rFonts w:eastAsia="Times New Roman" w:cs="Times New Roman"/>
          <w:sz w:val="24"/>
          <w:szCs w:val="24"/>
        </w:rPr>
        <w:t>enjelasan Pasal 22 ayat (2) UULH yang menyatakan jika diperlukan dapat diangkat tenaga ahli untuk menjadi anggota tim. Bilamana tidak dapat tercapai kata sepakat dalam batas waktu tertentu, maka penyelesaiannya dilakukan melalui pengadilan negeri. Berdasarkan Penjelasan Pasal 20 ayat (2) UULH ini dianggap sengketa lingkungan harus terlebih dahulu diselesaikan melalui tim baru dapat diselesaikan melalui pengadilan. Padahal seharusnya tidak demikian.</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Jelas, proses penegakan hukum lingkungan ini pun jauh lebih rumit daripada delik lain, karena seperti yang telah dikemukakan sebelumnya, hukum lingkungan menempati titik silang berbagai bidang hukum klasik. Proses penegakan hukum administratif akan</w:t>
      </w:r>
      <w:r w:rsidRPr="00C81872">
        <w:rPr>
          <w:rFonts w:eastAsia="Times New Roman" w:cs="Times New Roman"/>
          <w:sz w:val="24"/>
          <w:szCs w:val="24"/>
          <w:lang w:val="en-US"/>
        </w:rPr>
        <w:t xml:space="preserve"> </w:t>
      </w:r>
      <w:r w:rsidRPr="00C81872">
        <w:rPr>
          <w:rFonts w:eastAsia="Times New Roman" w:cs="Times New Roman"/>
          <w:sz w:val="24"/>
          <w:szCs w:val="24"/>
        </w:rPr>
        <w:t>lain dari pada proses penegakan hukum perdata ataupun hukum pidana.</w:t>
      </w:r>
      <w:r w:rsidRPr="00C81872">
        <w:rPr>
          <w:rStyle w:val="FootnoteReference"/>
          <w:rFonts w:eastAsia="Times New Roman" w:cs="Times New Roman"/>
          <w:sz w:val="24"/>
          <w:szCs w:val="24"/>
        </w:rPr>
        <w:footnoteReference w:id="22"/>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 xml:space="preserve">Pada umumnya masalah mulai dari satu titik, yaitu terjadinya pelanggaran hukum lingkungan. Dari titik berangkat ini dapat dimulai dari orang pribadi anggota masyarakat, korban penegak hukum yang mengetahui langsung terjadinya pelanggaran tanpa adanya laporan atau </w:t>
      </w:r>
      <w:r w:rsidRPr="00C81872">
        <w:rPr>
          <w:rFonts w:eastAsia="Times New Roman" w:cs="Times New Roman"/>
          <w:sz w:val="24"/>
          <w:szCs w:val="24"/>
        </w:rPr>
        <w:lastRenderedPageBreak/>
        <w:t>pengaduan. Tujuan tempat melapor kepada Bapedal Kantor Lingkungan Hidup juga bermacam-macam karena secara dini dapat mengetahui apakah benar terjadi pencemaran atau perusakan lingkungan. Mereka memeliki laboratorium khusus dan dari pemeriksaan laboratorium itu dapat diketahui terjadinya pelanggaran (melampaui ambang batas).</w:t>
      </w:r>
      <w:r w:rsidRPr="00C81872">
        <w:rPr>
          <w:rStyle w:val="FootnoteReference"/>
          <w:rFonts w:eastAsia="Times New Roman" w:cs="Times New Roman"/>
          <w:sz w:val="24"/>
          <w:szCs w:val="24"/>
        </w:rPr>
        <w:footnoteReference w:id="23"/>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Dari kantor LH ini dapat dipilih proses selanjutnya. Kalau masih ragu, tentang ketentuan mana yang dilanggar, apakah ketentuan administrasi (pelanggaran perizinan), apakah bersifat perdata (misalnya perbuatan melanggar hukum) ataukah perlu dilanjutkan ke proses hukum pidana misalnya jika pelanggar adalah residivis. Menurut pendapat penulis, sebaiknya kantor LH ini membawa persoalannya ke forum musyawarah seperti disebutkan sebelumnya. Akan tetapi, jika penerima laporan menganggap bahwa pelanggaran ini masih dapat diperbaiki atau dipulihkan dengan paksaan administrative (</w:t>
      </w:r>
      <w:r w:rsidRPr="00C81872">
        <w:rPr>
          <w:rFonts w:eastAsia="Times New Roman" w:cs="Times New Roman"/>
          <w:i/>
          <w:sz w:val="24"/>
          <w:szCs w:val="24"/>
          <w:lang w:val="en-US"/>
        </w:rPr>
        <w:t>bestuursdwang</w:t>
      </w:r>
      <w:r w:rsidRPr="00C81872">
        <w:rPr>
          <w:rFonts w:eastAsia="Times New Roman" w:cs="Times New Roman"/>
          <w:sz w:val="24"/>
          <w:szCs w:val="24"/>
          <w:lang w:val="en-US"/>
        </w:rPr>
        <w:t xml:space="preserve">), maka dapat diteruskan kepada yang mengeluarkan izin (misalnya pemerintah daerah) untuk segera ditanggulangi apakah cukup dengan </w:t>
      </w:r>
      <w:r w:rsidRPr="00C81872">
        <w:rPr>
          <w:rFonts w:eastAsia="Times New Roman" w:cs="Times New Roman"/>
          <w:i/>
          <w:sz w:val="24"/>
          <w:szCs w:val="24"/>
          <w:lang w:val="en-US"/>
        </w:rPr>
        <w:t xml:space="preserve">compliance </w:t>
      </w:r>
      <w:r w:rsidRPr="00C81872">
        <w:rPr>
          <w:rFonts w:eastAsia="Times New Roman" w:cs="Times New Roman"/>
          <w:sz w:val="24"/>
          <w:szCs w:val="24"/>
          <w:lang w:val="en-US"/>
        </w:rPr>
        <w:t>(negosiasi, penerangan, nasehat, dan seterusnya), ataukah tindakan keras, misalnya penarikan izin.</w:t>
      </w:r>
      <w:r w:rsidRPr="00C81872">
        <w:rPr>
          <w:rStyle w:val="FootnoteReference"/>
          <w:rFonts w:eastAsia="Times New Roman" w:cs="Times New Roman"/>
          <w:sz w:val="24"/>
          <w:szCs w:val="24"/>
          <w:lang w:val="en-US"/>
        </w:rPr>
        <w:footnoteReference w:id="24"/>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Anggota masyarakat, baik perorangan maupun kelompok dan lembaga swadaya masyarakat seperti organisasi lingkungan hidup, atau korban pencemaran atau perusakan lingkungan dapat juga langsung membawa persoalannya ke forum musyawarah tersebut. Dapat pula mereka langsung mengadu kepada penegak hukum pidana, yaitu polisi (dengan petunjuk jaksa). Menurut pendapat penulis, lembaga swadaya masyarakat atau organisasi lingkungan hidup jika ingin memilih jalan perdata terutama tuntutan perbuatan </w:t>
      </w:r>
      <w:r w:rsidRPr="00C81872">
        <w:rPr>
          <w:rFonts w:eastAsia="Times New Roman" w:cs="Times New Roman"/>
          <w:sz w:val="24"/>
          <w:szCs w:val="24"/>
          <w:lang w:val="en-US"/>
        </w:rPr>
        <w:lastRenderedPageBreak/>
        <w:t>melanggar hukum dapat melakukan gugatan sendiri kepada hakim perdata atas nama masyarakat atau kepentingan masyarakat (</w:t>
      </w:r>
      <w:r w:rsidRPr="00C81872">
        <w:rPr>
          <w:rFonts w:eastAsia="Times New Roman" w:cs="Times New Roman"/>
          <w:i/>
          <w:sz w:val="24"/>
          <w:szCs w:val="24"/>
          <w:lang w:val="en-US"/>
        </w:rPr>
        <w:t>algemeen belang, maatschappelijk belang</w:t>
      </w:r>
      <w:r w:rsidRPr="00C81872">
        <w:rPr>
          <w:rFonts w:eastAsia="Times New Roman" w:cs="Times New Roman"/>
          <w:sz w:val="24"/>
          <w:szCs w:val="24"/>
          <w:lang w:val="en-US"/>
        </w:rPr>
        <w:t>). Jika mereka kurang mampu memikul biaya perkara, berdasarkan pada Pasal 25 Keputusan Presiden Nomor 55 Tahun 1991, dapat meneruskan kepada jaksa yang akan menggugat perdata atas kepentingan umum atau kepentingan masyarakat. Di Kejaksaan terdapat bidang khusus untuk ini, yaitu Jaksa Agung Muda Perdata dan Tata Usaha Negara.</w:t>
      </w:r>
      <w:r w:rsidRPr="00C81872">
        <w:rPr>
          <w:rStyle w:val="FootnoteReference"/>
          <w:rFonts w:eastAsia="Times New Roman" w:cs="Times New Roman"/>
          <w:sz w:val="24"/>
          <w:szCs w:val="24"/>
          <w:lang w:val="en-US"/>
        </w:rPr>
        <w:footnoteReference w:id="25"/>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Di samping itu, jika anggota masyarakat, korban, lembaga swadaya masyarakat, organisasi lingkungan hidup, bahkan siapa saja dapat membuat laporan pidana kepada polisi. Siapa pun juga yang mengetahui terjadinya kejahatan wajib melaporkan kepada penyidik. Dari kepolisian dapat diminta petunjuk jaksa secara teknis yuridis. Jalur ini jelas jalur hukum pidana. Akan tetapi, jaksa masih dapat menyelesaikan berdasarkan asas oportunitas, baik dengan syarat maupun tanpa syarat.</w:t>
      </w:r>
      <w:r w:rsidRPr="00C81872">
        <w:rPr>
          <w:rStyle w:val="FootnoteReference"/>
          <w:rFonts w:eastAsia="Times New Roman" w:cs="Times New Roman"/>
          <w:sz w:val="24"/>
          <w:szCs w:val="24"/>
          <w:lang w:val="en-US"/>
        </w:rPr>
        <w:footnoteReference w:id="26"/>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Jika jalur musyawarah yang ditempuh lebih dulu, tergantung pada pilihan instrument mana yang akan diterapkan. Setelah ditetapkan atau dimufakatkan akan menempuh salah satu jalur, prosesnya masing-masing diuraikan sebelumnya. Artinya, jika jalur administrative yang akan ditempuh maka korban, lembaga swadaya masyarakat, organisasi lingkungan hidup, Jaksa Perdata dan Tata Usaha Negara yang dapat menggugat. Jika jalur hukum pidana yang akan ditempuh, langsung diserahkan kepada polisi, kecuali perkara ZEE yang akan diserahkan kepada penyidik perwira TNI Angkatan Laut.</w:t>
      </w:r>
      <w:r w:rsidRPr="00C81872">
        <w:rPr>
          <w:rStyle w:val="FootnoteReference"/>
          <w:rFonts w:eastAsia="Times New Roman" w:cs="Times New Roman"/>
          <w:sz w:val="24"/>
          <w:szCs w:val="24"/>
          <w:lang w:val="en-US"/>
        </w:rPr>
        <w:footnoteReference w:id="27"/>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lastRenderedPageBreak/>
        <w:t>Jika semua jalur akan ditempuh berhubung pelanggaran telah demikian serius dan menyinggung semua dimensi, misalnya melanggar syarat-syarat suatu izin menimbulkan kerugian financial kepada orang atau masyarakat, lagi pula ia seorang residivis bahkan telah menimbulkan korban luka atau mati, masing-masing penegak hukum dan yang berkepentingan melakukan tugasnya. Agar sanksi yang dijatuhkan tidak tumpang-tindih, misalnya denda (berdasarkan sanksi administrative dan pidana) maka para penegak hukum perlu bermusyawarah sehingga tindakan yang dilakukan masing-masing terkoordinasi dengan baik.</w:t>
      </w:r>
      <w:r w:rsidRPr="00C81872">
        <w:rPr>
          <w:rStyle w:val="FootnoteReference"/>
          <w:rFonts w:eastAsia="Times New Roman" w:cs="Times New Roman"/>
          <w:sz w:val="24"/>
          <w:szCs w:val="24"/>
          <w:lang w:val="en-US"/>
        </w:rPr>
        <w:footnoteReference w:id="28"/>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lang w:val="en-US"/>
        </w:rPr>
        <w:t>Akhirnya perlu diperhatikan bahwa semua jalur yang dapat ditempuh tersebut memerlukan saksi ahli menurut pendapat penulis sebaiknya diambil dari atau dengan perantara kantor menteri lingkungan hidup, antara lain karena mereka mempunyai laboratorium khusus lingkungan.</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Permohonan penyelesaian sengketa lingkungan hidup di luar pengadilan harus disampaikan secara tertulis oleh salah satu pihak yang bersengketa kepada lembaga penyedia jasa penyelesaian sengketa lingkungan hidup di luar pengadilan, dengan tembusan kepada instansi yang bertanggung jawab atas bidang pengendalian dampak lingkungan, baik pada tingkat pusat maupun daerah. Selanjutnya instansi yang bertanggung jawab atas bidang pengendalian dampak lingkungan tersebut akan melakukan verifikasi atas kebenaran fakta-fakta berupa data-data atau informasi-informasi yang disampaikan oleh pemohon dalam jangka waktu tiga puluh hari terhitung sejak tembusan permohonan diterima. Hasil verifikasi kemudian disampaikan kepada lembaga penyedia jasa penyelesaian sengketa lingkungan hidup di luar </w:t>
      </w:r>
      <w:r w:rsidRPr="00C81872">
        <w:rPr>
          <w:rFonts w:eastAsia="Times New Roman" w:cs="Times New Roman"/>
          <w:sz w:val="24"/>
          <w:szCs w:val="24"/>
          <w:lang w:val="en-US"/>
        </w:rPr>
        <w:lastRenderedPageBreak/>
        <w:t>pengadilan yang dimintakan untuk menangani perselisihan dalam bidang lingkungan hidup tersebut. Lembaga penyedia jasa penyelesaian sengketa lingkungan hidup di luar pengadilan tersebut, dalam jangka waktu empat belas hari terhitung sejak hasil verifikasi diterima, harus segera mengundang para pihak yang bersengketa untuk menyelesaikan perselisihan yang ada.</w:t>
      </w:r>
      <w:r w:rsidRPr="00C81872">
        <w:rPr>
          <w:rStyle w:val="FootnoteReference"/>
          <w:rFonts w:eastAsia="Times New Roman" w:cs="Times New Roman"/>
          <w:sz w:val="24"/>
          <w:szCs w:val="24"/>
          <w:lang w:val="en-US"/>
        </w:rPr>
        <w:footnoteReference w:id="29"/>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Dalam melakukan kegiatan menengahi jalannya proses penyelesaian sengketa lingkungan hidup tersebut, mediator harus tunduk sepenuhnya pada kesepakatan yang telah dibuat oleh para pihak yang bersengketa. Kesepakatan tersebut akan menjadi pedoman bagi mediator/pihak ketiga lainnya dalam menengahi penyelesaian perselisihan yang diserahkan kepadanya tersebut. Kesepakatan antara pihak yang bersengketa tersebut harus memuat sekurangnya:</w:t>
      </w:r>
      <w:r w:rsidRPr="00C81872">
        <w:rPr>
          <w:rStyle w:val="FootnoteReference"/>
          <w:rFonts w:eastAsia="Times New Roman" w:cs="Times New Roman"/>
          <w:sz w:val="24"/>
          <w:szCs w:val="24"/>
          <w:lang w:val="en-US"/>
        </w:rPr>
        <w:footnoteReference w:id="30"/>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Masalah yang disengketakan;</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Nama lengkap dan tempat tinggal para pihak;</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Nama lengkap dan tempat tinggal mediator/pihak ketiga lainnya;</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Tempat dimana para pihak melakukan perundingan;</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Batas waktu atau lamanya penyelesaian sengketa ini;</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Pernyataan kesediaan mediator atau pihak ketiga lainnya;</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Pernyataan kesediaan dari salah satu atau para pihak yang bersengketa untuk menanggung semua biaya yang terbit sehubungan dengan proses penyelesaian sengketa lingkungan hidup di luar pengadilan ini;</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Larangan pengungkapan dan/atau pernyataan yang menyinggung atau menyerang pribadi;</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lastRenderedPageBreak/>
        <w:t>Kehadiran pengamat, ahli dan/atau nara sumber yang diperlukan;</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Larangan pengungkapan informasi tertentu yang dikemukakan selama proses penyelesaian sengketa secara musyawarah kepada masyarakat.</w:t>
      </w:r>
    </w:p>
    <w:p w:rsidR="00DB64AE" w:rsidRPr="00C81872" w:rsidRDefault="00DB64AE" w:rsidP="00D24978">
      <w:pPr>
        <w:pStyle w:val="ListParagraph"/>
        <w:numPr>
          <w:ilvl w:val="0"/>
          <w:numId w:val="26"/>
        </w:numPr>
        <w:spacing w:after="0" w:line="240" w:lineRule="auto"/>
        <w:ind w:left="426"/>
        <w:contextualSpacing w:val="0"/>
        <w:jc w:val="both"/>
        <w:rPr>
          <w:rFonts w:eastAsia="Times New Roman" w:cs="Times New Roman"/>
          <w:sz w:val="24"/>
          <w:szCs w:val="24"/>
        </w:rPr>
      </w:pPr>
      <w:r w:rsidRPr="00C81872">
        <w:rPr>
          <w:rFonts w:eastAsia="Times New Roman" w:cs="Times New Roman"/>
          <w:sz w:val="24"/>
          <w:szCs w:val="24"/>
          <w:lang w:val="en-US"/>
        </w:rPr>
        <w:t>Larangan pengungkapan catatan dari proses serta hasil kesepakatan yang dicapai.</w:t>
      </w:r>
    </w:p>
    <w:p w:rsidR="00DB64AE" w:rsidRPr="00C81872" w:rsidRDefault="00DB64AE" w:rsidP="00D24978">
      <w:pPr>
        <w:spacing w:after="0" w:line="240" w:lineRule="auto"/>
        <w:ind w:firstLine="284"/>
        <w:jc w:val="both"/>
        <w:rPr>
          <w:rFonts w:eastAsia="Times New Roman" w:cs="Times New Roman"/>
          <w:i/>
          <w:sz w:val="24"/>
          <w:szCs w:val="24"/>
          <w:lang w:val="en-US"/>
        </w:rPr>
      </w:pPr>
      <w:r w:rsidRPr="00C81872">
        <w:rPr>
          <w:rFonts w:eastAsia="Times New Roman" w:cs="Times New Roman"/>
          <w:sz w:val="24"/>
          <w:szCs w:val="24"/>
          <w:lang w:val="en-US"/>
        </w:rPr>
        <w:t>Pilihan penyelesaian sengketa lingkungan hidup di luar pengadilan adalah sesuatu yang bersifat sukarela, dan dapat ditarik sepenuhnya oleh salah satu pihak yang tidak ingin melanjutkan proses jalannya penyelesaian perselisihan lingkungan hidup tersebut di luar pengadilan. Ketentuan tersebut dipertegas kembali dalam ketentuan Pasal 23 Peraturan Pemerintah No. 54 Tahun 200 ini, yang menyatakan bahwa :</w:t>
      </w:r>
      <w:r w:rsidRPr="00C81872">
        <w:rPr>
          <w:rStyle w:val="FootnoteReference"/>
          <w:rFonts w:eastAsia="Times New Roman" w:cs="Times New Roman"/>
          <w:sz w:val="24"/>
          <w:szCs w:val="24"/>
          <w:lang w:val="en-US"/>
        </w:rPr>
        <w:footnoteReference w:id="31"/>
      </w:r>
      <w:r w:rsidR="00D24978">
        <w:rPr>
          <w:rFonts w:eastAsia="Times New Roman" w:cs="Times New Roman"/>
          <w:sz w:val="24"/>
          <w:szCs w:val="24"/>
          <w:lang w:val="en-US"/>
        </w:rPr>
        <w:t xml:space="preserve"> </w:t>
      </w:r>
      <w:r w:rsidRPr="00C81872">
        <w:rPr>
          <w:rFonts w:eastAsia="Times New Roman" w:cs="Times New Roman"/>
          <w:i/>
          <w:sz w:val="24"/>
          <w:szCs w:val="24"/>
          <w:lang w:val="en-US"/>
        </w:rPr>
        <w:t>Para pihak yang bersengketa atau salah satu pihak dalam proses penyelesaian sengketa setiap saat berhak menarik diri dari perundingan.</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Pemeriksaan diri dari perundingan tersebut harus disampaikan secara tertulis kepada mediator/pihak ketiga lainnya yang bertugas menengahi proses penyelesaian sengketa secara musyawarah tersebut, dan pihak terhadap siapa proses penyelesaian sengketa tengah dilakukan.</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Kesepakatan yang diperoleh dari hasil perundingan yang ditengahi oleh mediator/pihak ketiga lainnya harus dituangkan dalam bentuk perjanjian tertulis di atas kertas bermaterai, yang memuat antara lain:</w:t>
      </w:r>
      <w:r w:rsidRPr="00C81872">
        <w:rPr>
          <w:rStyle w:val="FootnoteReference"/>
          <w:rFonts w:eastAsia="Times New Roman" w:cs="Times New Roman"/>
          <w:sz w:val="24"/>
          <w:szCs w:val="24"/>
          <w:lang w:val="en-US"/>
        </w:rPr>
        <w:footnoteReference w:id="32"/>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rPr>
      </w:pPr>
      <w:r w:rsidRPr="00C81872">
        <w:rPr>
          <w:rFonts w:eastAsia="Times New Roman" w:cs="Times New Roman"/>
          <w:sz w:val="24"/>
          <w:szCs w:val="24"/>
          <w:lang w:val="en-US"/>
        </w:rPr>
        <w:t>Nama lengkap dan tempat tinggal para pihak;</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rPr>
      </w:pPr>
      <w:r w:rsidRPr="00C81872">
        <w:rPr>
          <w:rFonts w:eastAsia="Times New Roman" w:cs="Times New Roman"/>
          <w:sz w:val="24"/>
          <w:szCs w:val="24"/>
          <w:lang w:val="en-US"/>
        </w:rPr>
        <w:t>Nama lengkap dan tempat tinggal mediator/pihak ketiga lainnya;</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rPr>
      </w:pPr>
      <w:r w:rsidRPr="00C81872">
        <w:rPr>
          <w:rFonts w:eastAsia="Times New Roman" w:cs="Times New Roman"/>
          <w:sz w:val="24"/>
          <w:szCs w:val="24"/>
          <w:lang w:val="en-US"/>
        </w:rPr>
        <w:t>Uraian singkat sengketa;</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rPr>
      </w:pPr>
      <w:r w:rsidRPr="00C81872">
        <w:rPr>
          <w:rFonts w:eastAsia="Times New Roman" w:cs="Times New Roman"/>
          <w:sz w:val="24"/>
          <w:szCs w:val="24"/>
          <w:lang w:val="en-US"/>
        </w:rPr>
        <w:t>Pendirian para pihak;</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rPr>
      </w:pPr>
      <w:r w:rsidRPr="00C81872">
        <w:rPr>
          <w:rFonts w:eastAsia="Times New Roman" w:cs="Times New Roman"/>
          <w:sz w:val="24"/>
          <w:szCs w:val="24"/>
          <w:lang w:val="en-US"/>
        </w:rPr>
        <w:t>Pertimbangan dan kesimpulan mediator/pihak ketiga lainnya.</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rPr>
      </w:pPr>
      <w:r w:rsidRPr="00C81872">
        <w:rPr>
          <w:rFonts w:eastAsia="Times New Roman" w:cs="Times New Roman"/>
          <w:sz w:val="24"/>
          <w:szCs w:val="24"/>
          <w:lang w:val="en-US"/>
        </w:rPr>
        <w:lastRenderedPageBreak/>
        <w:t>Isi kesepakatan, yang memuat antara lain :</w:t>
      </w:r>
    </w:p>
    <w:p w:rsidR="00DB64AE" w:rsidRPr="00C81872" w:rsidRDefault="00DB64AE" w:rsidP="00D24978">
      <w:pPr>
        <w:pStyle w:val="ListParagraph"/>
        <w:numPr>
          <w:ilvl w:val="0"/>
          <w:numId w:val="28"/>
        </w:numPr>
        <w:spacing w:after="0" w:line="240" w:lineRule="auto"/>
        <w:ind w:left="993"/>
        <w:contextualSpacing w:val="0"/>
        <w:jc w:val="both"/>
        <w:rPr>
          <w:rFonts w:eastAsia="Times New Roman" w:cs="Times New Roman"/>
          <w:sz w:val="24"/>
          <w:szCs w:val="24"/>
        </w:rPr>
      </w:pPr>
      <w:r w:rsidRPr="00C81872">
        <w:rPr>
          <w:rFonts w:eastAsia="Times New Roman" w:cs="Times New Roman"/>
          <w:sz w:val="24"/>
          <w:szCs w:val="24"/>
          <w:lang w:val="en-US"/>
        </w:rPr>
        <w:t>Bentuk dan besarnya ganti rugi;</w:t>
      </w:r>
    </w:p>
    <w:p w:rsidR="00DB64AE" w:rsidRPr="00C81872" w:rsidRDefault="00DB64AE" w:rsidP="00D24978">
      <w:pPr>
        <w:pStyle w:val="ListParagraph"/>
        <w:numPr>
          <w:ilvl w:val="0"/>
          <w:numId w:val="28"/>
        </w:numPr>
        <w:spacing w:after="0" w:line="240" w:lineRule="auto"/>
        <w:ind w:left="993"/>
        <w:contextualSpacing w:val="0"/>
        <w:jc w:val="both"/>
        <w:rPr>
          <w:rFonts w:eastAsia="Times New Roman" w:cs="Times New Roman"/>
          <w:sz w:val="24"/>
          <w:szCs w:val="24"/>
        </w:rPr>
      </w:pPr>
      <w:r w:rsidRPr="00C81872">
        <w:rPr>
          <w:rFonts w:eastAsia="Times New Roman" w:cs="Times New Roman"/>
          <w:sz w:val="24"/>
          <w:szCs w:val="24"/>
          <w:lang w:val="en-US"/>
        </w:rPr>
        <w:t>Tindakan tertentu yang wajib dilakukan guna menjamin tidak terjadi atau terulangnya dampak negatif terhadap lingkungan hidup, yang biayanya ditanggungkan sepenuhnya kepada penanggung jawab usaha/kegiatan yang telah mencemarkan/merusak lingkungan hidup;</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lang w:val="en-US"/>
        </w:rPr>
      </w:pPr>
      <w:r w:rsidRPr="00C81872">
        <w:rPr>
          <w:rFonts w:eastAsia="Times New Roman" w:cs="Times New Roman"/>
          <w:sz w:val="24"/>
          <w:szCs w:val="24"/>
          <w:lang w:val="en-US"/>
        </w:rPr>
        <w:t>Batas waktu pelaksanaan isi kesepakatan;</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lang w:val="en-US"/>
        </w:rPr>
      </w:pPr>
      <w:r w:rsidRPr="00C81872">
        <w:rPr>
          <w:rFonts w:eastAsia="Times New Roman" w:cs="Times New Roman"/>
          <w:sz w:val="24"/>
          <w:szCs w:val="24"/>
          <w:lang w:val="en-US"/>
        </w:rPr>
        <w:t>Tempat pelaksanaan isi kesepakatan;</w:t>
      </w:r>
    </w:p>
    <w:p w:rsidR="00DB64AE" w:rsidRPr="00C81872" w:rsidRDefault="00DB64AE" w:rsidP="00D24978">
      <w:pPr>
        <w:pStyle w:val="ListParagraph"/>
        <w:numPr>
          <w:ilvl w:val="0"/>
          <w:numId w:val="27"/>
        </w:numPr>
        <w:spacing w:after="0" w:line="240" w:lineRule="auto"/>
        <w:ind w:left="567"/>
        <w:contextualSpacing w:val="0"/>
        <w:jc w:val="both"/>
        <w:rPr>
          <w:rFonts w:eastAsia="Times New Roman" w:cs="Times New Roman"/>
          <w:sz w:val="24"/>
          <w:szCs w:val="24"/>
          <w:lang w:val="en-US"/>
        </w:rPr>
      </w:pPr>
      <w:r w:rsidRPr="00C81872">
        <w:rPr>
          <w:rFonts w:eastAsia="Times New Roman" w:cs="Times New Roman"/>
          <w:sz w:val="24"/>
          <w:szCs w:val="24"/>
          <w:lang w:val="en-US"/>
        </w:rPr>
        <w:t>Pihak yang melaksanakan isi kesepakatan.</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lang w:val="en-US"/>
        </w:rPr>
        <w:t>Kesepakatan tersebut di atas harus ditandatangani oleh para pihak dan mediator/pihak ketiga lainnya yang menengahi proses penyelesaian sengketa lingkungan hidup di luar pengadilan tersebut. Dalam waktu tiga puluh hari terhitung sejak tanggal ditandatanganinya kesepakatan tersebut, maka lembar asli atau salinan otentik kesepakatan diserahkan dan didaftarkan oleh mediator/pihak ketiga lainnya tersebut atau salah satu pihak  atau para pihak yang bersengketa ke Panitera Pengadilan Negeri. Tentunya maksud penyerahan dan pendaftaran ini adalah untuk keperluan eksekusi. Berapa lama eksekusi dapat dimintakan bantuannya tidak dijelaskan dalam Peraturan Pemerintah ini.</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Tidak ada suatu kejelasan apakah yang terjadi jika ternyata salah satu pihak yang bersengketa, oleh karena adanya kewajiban yang dibebankan dalam isi kesepakatan, tidak mau menandatangani perjanjian yang sudah dibuat. Demikian juga kiranya perlu mendapat perhatian adanya pemberian kewenangan yang luas tentang pihak yang berhak menyerahkan dan mendaftarkan isi/salinan otentik perjanjian tertulis tersebut. Hal ini dikhawatirkan dapat </w:t>
      </w:r>
      <w:r w:rsidRPr="00C81872">
        <w:rPr>
          <w:rFonts w:eastAsia="Times New Roman" w:cs="Times New Roman"/>
          <w:sz w:val="24"/>
          <w:szCs w:val="24"/>
          <w:lang w:val="en-US"/>
        </w:rPr>
        <w:lastRenderedPageBreak/>
        <w:t>mengaburkan beban kewajiban dan pertanggungjawaban atas kelalaian yang mungkin terjadi.</w:t>
      </w:r>
      <w:r w:rsidRPr="00C81872">
        <w:rPr>
          <w:rStyle w:val="FootnoteReference"/>
          <w:rFonts w:eastAsia="Times New Roman" w:cs="Times New Roman"/>
          <w:sz w:val="24"/>
          <w:szCs w:val="24"/>
          <w:lang w:val="en-US"/>
        </w:rPr>
        <w:footnoteReference w:id="33"/>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Dalam penegakan hukum lingkungan telah diatur segala bentuk pelanggaran maupun kejahatan, bagi pelaku baik yang dilakukan oleh perorangan maupun badan dengan upaya pencegahan (preventif) maupun penindakannya (represif). Untuk tindakan represif ini ada beberapa jenis instrument yang dapat diterapkan dan penerapannya tergantung dari keperluannya, sebagai pertimbangan antara lain melihat dampak yang ditimbulkannya.</w:t>
      </w:r>
    </w:p>
    <w:p w:rsidR="00DB64AE" w:rsidRPr="00C81872" w:rsidRDefault="00DB64AE" w:rsidP="00C81872">
      <w:pPr>
        <w:spacing w:after="0" w:line="240" w:lineRule="auto"/>
        <w:jc w:val="both"/>
        <w:rPr>
          <w:rFonts w:eastAsia="Times New Roman" w:cs="Times New Roman"/>
          <w:sz w:val="24"/>
          <w:szCs w:val="24"/>
        </w:rPr>
      </w:pPr>
      <w:r w:rsidRPr="00C81872">
        <w:rPr>
          <w:rFonts w:eastAsia="Times New Roman" w:cs="Times New Roman"/>
          <w:sz w:val="24"/>
          <w:szCs w:val="24"/>
          <w:lang w:val="en-US"/>
        </w:rPr>
        <w:t>Jenis-jenis instrument yang dimaksud meliputi:</w:t>
      </w:r>
      <w:r w:rsidRPr="00C81872">
        <w:rPr>
          <w:rStyle w:val="FootnoteReference"/>
          <w:rFonts w:eastAsia="Times New Roman" w:cs="Times New Roman"/>
          <w:sz w:val="24"/>
          <w:szCs w:val="24"/>
          <w:lang w:val="en-US"/>
        </w:rPr>
        <w:footnoteReference w:id="34"/>
      </w:r>
    </w:p>
    <w:p w:rsidR="00DB64AE" w:rsidRPr="00C81872" w:rsidRDefault="00DB64AE" w:rsidP="00C81872">
      <w:pPr>
        <w:pStyle w:val="ListParagraph"/>
        <w:numPr>
          <w:ilvl w:val="0"/>
          <w:numId w:val="20"/>
        </w:numPr>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Tindakan Administratif.</w:t>
      </w:r>
    </w:p>
    <w:p w:rsidR="00DB64AE" w:rsidRPr="00C81872" w:rsidRDefault="00DB64AE" w:rsidP="00C81872">
      <w:pPr>
        <w:pStyle w:val="ListParagraph"/>
        <w:numPr>
          <w:ilvl w:val="0"/>
          <w:numId w:val="20"/>
        </w:numPr>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Tindakan Perdata (proses perdata).</w:t>
      </w:r>
    </w:p>
    <w:p w:rsidR="00DB64AE" w:rsidRPr="00C81872" w:rsidRDefault="00DB64AE" w:rsidP="00C81872">
      <w:pPr>
        <w:pStyle w:val="ListParagraph"/>
        <w:numPr>
          <w:ilvl w:val="0"/>
          <w:numId w:val="20"/>
        </w:numPr>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Tindakan Pidana (proses pidana).</w:t>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lang w:val="en-US"/>
        </w:rPr>
      </w:pPr>
      <w:r w:rsidRPr="00C81872">
        <w:rPr>
          <w:rFonts w:eastAsia="Times New Roman" w:cs="Times New Roman"/>
          <w:sz w:val="24"/>
          <w:szCs w:val="24"/>
          <w:lang w:val="en-US"/>
        </w:rPr>
        <w:t>Dari ketiga bentuk instrument tersebut tidak ada skala prioritas atau merupakan urutan pertama dan terakhir, sehingga apabila ada asumsi tindakan pidana merupakan hukuman yang terakhir dalam penerapannya dan apabila tindakan yang lain tidak menyelesaikan masalahnya. Hal ini tidak seluruhnya benar, bahkan tindakan pidana ini hanya menyelesaikan secara sepihak belum menjangkau pada pihak penderitanya yaitu sekelompok orang yang terkena dampak tersebut dalam bentuk pemulihan ke keadaan semula.</w:t>
      </w:r>
      <w:r w:rsidRPr="00C81872">
        <w:rPr>
          <w:rStyle w:val="FootnoteReference"/>
          <w:rFonts w:eastAsia="Times New Roman" w:cs="Times New Roman"/>
          <w:sz w:val="24"/>
          <w:szCs w:val="24"/>
          <w:lang w:val="en-US"/>
        </w:rPr>
        <w:footnoteReference w:id="35"/>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lang w:val="en-US"/>
        </w:rPr>
      </w:pPr>
      <w:r w:rsidRPr="00C81872">
        <w:rPr>
          <w:rFonts w:eastAsia="Times New Roman" w:cs="Times New Roman"/>
          <w:sz w:val="24"/>
          <w:szCs w:val="24"/>
          <w:lang w:val="en-US"/>
        </w:rPr>
        <w:t>Pada dasarnya setiap instrument mempunyai jangkauan-jangkauan masing-masing dengan tujuan yang berskala proposional, yaitu tergantung dari kepentingan yang ingin diselesaikan.</w:t>
      </w:r>
      <w:r w:rsidRPr="00C81872">
        <w:rPr>
          <w:rFonts w:eastAsia="Times New Roman" w:cs="Times New Roman"/>
          <w:sz w:val="24"/>
          <w:szCs w:val="24"/>
        </w:rPr>
        <w:t xml:space="preserve"> </w:t>
      </w:r>
      <w:r w:rsidRPr="00C81872">
        <w:rPr>
          <w:rFonts w:eastAsia="Times New Roman" w:cs="Times New Roman"/>
          <w:sz w:val="24"/>
          <w:szCs w:val="24"/>
          <w:lang w:val="en-US"/>
        </w:rPr>
        <w:t xml:space="preserve">Masalah lingkungan ini dikaitkan dengan </w:t>
      </w:r>
      <w:r w:rsidRPr="00C81872">
        <w:rPr>
          <w:rFonts w:eastAsia="Times New Roman" w:cs="Times New Roman"/>
          <w:sz w:val="24"/>
          <w:szCs w:val="24"/>
          <w:lang w:val="en-US"/>
        </w:rPr>
        <w:lastRenderedPageBreak/>
        <w:t>dampaknya (limbah) mempunyai beberapa aspek yang terkait :</w:t>
      </w:r>
      <w:r w:rsidRPr="00C81872">
        <w:rPr>
          <w:rStyle w:val="FootnoteReference"/>
          <w:rFonts w:eastAsia="Times New Roman" w:cs="Times New Roman"/>
          <w:sz w:val="24"/>
          <w:szCs w:val="24"/>
          <w:lang w:val="en-US"/>
        </w:rPr>
        <w:footnoteReference w:id="36"/>
      </w:r>
    </w:p>
    <w:p w:rsidR="00DB64AE" w:rsidRPr="00C81872" w:rsidRDefault="00DB64AE" w:rsidP="00D24978">
      <w:pPr>
        <w:pStyle w:val="ListParagraph"/>
        <w:numPr>
          <w:ilvl w:val="0"/>
          <w:numId w:val="21"/>
        </w:numPr>
        <w:spacing w:after="0" w:line="240" w:lineRule="auto"/>
        <w:ind w:left="426"/>
        <w:contextualSpacing w:val="0"/>
        <w:jc w:val="both"/>
        <w:rPr>
          <w:rFonts w:eastAsia="Times New Roman" w:cs="Times New Roman"/>
          <w:sz w:val="24"/>
          <w:szCs w:val="24"/>
          <w:lang w:val="en-US"/>
        </w:rPr>
      </w:pPr>
      <w:r w:rsidRPr="00C81872">
        <w:rPr>
          <w:rFonts w:eastAsia="Times New Roman" w:cs="Times New Roman"/>
          <w:sz w:val="24"/>
          <w:szCs w:val="24"/>
          <w:lang w:val="en-US"/>
        </w:rPr>
        <w:t>Lingkungan itu sendiri, meliputi :</w:t>
      </w:r>
    </w:p>
    <w:p w:rsidR="00DB64AE" w:rsidRPr="00C81872" w:rsidRDefault="00DB64AE" w:rsidP="00D24978">
      <w:pPr>
        <w:pStyle w:val="ListParagraph"/>
        <w:numPr>
          <w:ilvl w:val="1"/>
          <w:numId w:val="21"/>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Tanaman.</w:t>
      </w:r>
    </w:p>
    <w:p w:rsidR="00DB64AE" w:rsidRPr="00C81872" w:rsidRDefault="00DB64AE" w:rsidP="00D24978">
      <w:pPr>
        <w:pStyle w:val="ListParagraph"/>
        <w:numPr>
          <w:ilvl w:val="1"/>
          <w:numId w:val="21"/>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Perikanan/peternakan.</w:t>
      </w:r>
    </w:p>
    <w:p w:rsidR="00DB64AE" w:rsidRPr="00C81872" w:rsidRDefault="00DB64AE" w:rsidP="00D24978">
      <w:pPr>
        <w:pStyle w:val="ListParagraph"/>
        <w:numPr>
          <w:ilvl w:val="1"/>
          <w:numId w:val="21"/>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Tanah.</w:t>
      </w:r>
    </w:p>
    <w:p w:rsidR="00DB64AE" w:rsidRPr="00C81872" w:rsidRDefault="00DB64AE" w:rsidP="00D24978">
      <w:pPr>
        <w:pStyle w:val="ListParagraph"/>
        <w:numPr>
          <w:ilvl w:val="1"/>
          <w:numId w:val="21"/>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Air.</w:t>
      </w:r>
    </w:p>
    <w:p w:rsidR="00DB64AE" w:rsidRPr="00C81872" w:rsidRDefault="00DB64AE" w:rsidP="00D24978">
      <w:pPr>
        <w:pStyle w:val="ListParagraph"/>
        <w:numPr>
          <w:ilvl w:val="1"/>
          <w:numId w:val="21"/>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Udara.</w:t>
      </w:r>
    </w:p>
    <w:p w:rsidR="00DB64AE" w:rsidRPr="00C81872" w:rsidRDefault="00DB64AE" w:rsidP="00D24978">
      <w:pPr>
        <w:pStyle w:val="ListParagraph"/>
        <w:numPr>
          <w:ilvl w:val="0"/>
          <w:numId w:val="21"/>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Penderita, dalam hal ini penduduk atau sekelompok orang yang terkena dampak, yang merasa secara langsung atau tidak langsung.</w:t>
      </w:r>
    </w:p>
    <w:p w:rsidR="00DB64AE" w:rsidRPr="00C81872" w:rsidRDefault="00DB64AE" w:rsidP="00D24978">
      <w:pPr>
        <w:pStyle w:val="ListParagraph"/>
        <w:numPr>
          <w:ilvl w:val="0"/>
          <w:numId w:val="21"/>
        </w:numPr>
        <w:spacing w:after="0" w:line="240" w:lineRule="auto"/>
        <w:ind w:left="426"/>
        <w:contextualSpacing w:val="0"/>
        <w:jc w:val="both"/>
        <w:rPr>
          <w:rFonts w:eastAsia="Times New Roman" w:cs="Times New Roman"/>
          <w:sz w:val="24"/>
          <w:szCs w:val="24"/>
          <w:lang w:val="en-US"/>
        </w:rPr>
      </w:pPr>
      <w:r w:rsidRPr="00C81872">
        <w:rPr>
          <w:rFonts w:eastAsia="Times New Roman" w:cs="Times New Roman"/>
          <w:sz w:val="24"/>
          <w:szCs w:val="24"/>
          <w:lang w:val="en-US"/>
        </w:rPr>
        <w:t>Perusahaan, dalam hal ini yang melaksanakan kegiatan termasuk di dalamnya :</w:t>
      </w:r>
    </w:p>
    <w:p w:rsidR="00DB64AE" w:rsidRPr="00C81872" w:rsidRDefault="00DB64AE" w:rsidP="00D24978">
      <w:pPr>
        <w:pStyle w:val="ListParagraph"/>
        <w:numPr>
          <w:ilvl w:val="0"/>
          <w:numId w:val="22"/>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Pemilik (the owner).</w:t>
      </w:r>
    </w:p>
    <w:p w:rsidR="00DB64AE" w:rsidRPr="00C81872" w:rsidRDefault="00DB64AE" w:rsidP="00D24978">
      <w:pPr>
        <w:pStyle w:val="ListParagraph"/>
        <w:numPr>
          <w:ilvl w:val="0"/>
          <w:numId w:val="22"/>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Penanggung jawab kegiatan (the responsibility).</w:t>
      </w:r>
    </w:p>
    <w:p w:rsidR="00DB64AE" w:rsidRPr="00C81872" w:rsidRDefault="00DB64AE" w:rsidP="00D24978">
      <w:pPr>
        <w:pStyle w:val="ListParagraph"/>
        <w:numPr>
          <w:ilvl w:val="0"/>
          <w:numId w:val="22"/>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Karyawan/buruh (worker).</w:t>
      </w:r>
    </w:p>
    <w:p w:rsidR="00DB64AE" w:rsidRPr="00C81872" w:rsidRDefault="00DB64AE" w:rsidP="00D24978">
      <w:pPr>
        <w:tabs>
          <w:tab w:val="left" w:pos="630"/>
        </w:tabs>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Setiap aspek di atas bukannya tidak ada kaitannya satu dengan lainnya, melainkan mempunyai hubungan yang sangat erat, terutama perusahaan-perusahaan industry yang kegiatannya memproduksi limbah.</w:t>
      </w:r>
    </w:p>
    <w:p w:rsidR="00DB64AE" w:rsidRPr="00C81872" w:rsidRDefault="00DB64AE" w:rsidP="00D24978">
      <w:pPr>
        <w:tabs>
          <w:tab w:val="left" w:pos="630"/>
          <w:tab w:val="left" w:pos="720"/>
        </w:tabs>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Dalam penerapan sanksi-sanksi (instrument) di atas harus mempertimbangkan aspek-aspek di atas, yaitu dengan memperhatikan dua hal :</w:t>
      </w:r>
      <w:r w:rsidRPr="00C81872">
        <w:rPr>
          <w:rStyle w:val="FootnoteReference"/>
          <w:rFonts w:eastAsia="Times New Roman" w:cs="Times New Roman"/>
          <w:sz w:val="24"/>
          <w:szCs w:val="24"/>
          <w:lang w:val="en-US"/>
        </w:rPr>
        <w:footnoteReference w:id="37"/>
      </w:r>
    </w:p>
    <w:p w:rsidR="00DB64AE" w:rsidRPr="00C81872" w:rsidRDefault="00DB64AE" w:rsidP="00D24978">
      <w:pPr>
        <w:pStyle w:val="ListParagraph"/>
        <w:numPr>
          <w:ilvl w:val="0"/>
          <w:numId w:val="23"/>
        </w:numPr>
        <w:spacing w:after="0" w:line="240" w:lineRule="auto"/>
        <w:ind w:left="426"/>
        <w:contextualSpacing w:val="0"/>
        <w:jc w:val="both"/>
        <w:rPr>
          <w:rFonts w:eastAsia="Times New Roman" w:cs="Times New Roman"/>
          <w:sz w:val="24"/>
          <w:szCs w:val="24"/>
          <w:lang w:val="en-US"/>
        </w:rPr>
      </w:pPr>
      <w:r w:rsidRPr="00C81872">
        <w:rPr>
          <w:rFonts w:eastAsia="Times New Roman" w:cs="Times New Roman"/>
          <w:sz w:val="24"/>
          <w:szCs w:val="24"/>
          <w:lang w:val="en-US"/>
        </w:rPr>
        <w:t>Apakah dengan diterapkannya salah satu sanksi, lingkungan dapat dijamin pemulihannya atau proses yang mengarah pada pemulihan lingkungan.</w:t>
      </w:r>
    </w:p>
    <w:p w:rsidR="00DB64AE" w:rsidRPr="00C81872" w:rsidRDefault="00DB64AE" w:rsidP="00D24978">
      <w:pPr>
        <w:pStyle w:val="ListParagraph"/>
        <w:numPr>
          <w:ilvl w:val="0"/>
          <w:numId w:val="23"/>
        </w:numPr>
        <w:spacing w:after="0" w:line="240" w:lineRule="auto"/>
        <w:ind w:left="426"/>
        <w:contextualSpacing w:val="0"/>
        <w:jc w:val="both"/>
        <w:rPr>
          <w:rFonts w:eastAsia="Times New Roman" w:cs="Times New Roman"/>
          <w:sz w:val="24"/>
          <w:szCs w:val="24"/>
          <w:lang w:val="en-US"/>
        </w:rPr>
      </w:pPr>
      <w:r w:rsidRPr="00C81872">
        <w:rPr>
          <w:rFonts w:eastAsia="Times New Roman" w:cs="Times New Roman"/>
          <w:sz w:val="24"/>
          <w:szCs w:val="24"/>
          <w:lang w:val="en-US"/>
        </w:rPr>
        <w:t>Bagaimana keadaan buruh/karyawannya, apabila sanksi tersebut diterapkan. Akibatnya akan terasa karena adanya pemutusan hubungan kerja atau bahkan penutupan perusahaan.</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lang w:val="en-US"/>
        </w:rPr>
        <w:t>Didasari atau tidak masalah lingkungan ini cukup komplek dan penyelesaiannya pun dapat membawa dampak yang komplek pula, apabila tanpa memperhatikan dan mempertimbangkan faktor ekonomi dan social.</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lastRenderedPageBreak/>
        <w:t>Hingga sekarang telah diketahui ada 4 macam pendekatan atau teknik penilaian dampak pembangunan terhadap lingkungan. Keempat macam pendekatan ini adalah :</w:t>
      </w:r>
      <w:r w:rsidRPr="00C81872">
        <w:rPr>
          <w:rStyle w:val="FootnoteReference"/>
          <w:rFonts w:eastAsia="Times New Roman" w:cs="Times New Roman"/>
          <w:sz w:val="24"/>
          <w:szCs w:val="24"/>
        </w:rPr>
        <w:footnoteReference w:id="38"/>
      </w:r>
    </w:p>
    <w:p w:rsidR="00DB64AE" w:rsidRPr="00C81872" w:rsidRDefault="00DB64AE" w:rsidP="00C81872">
      <w:pPr>
        <w:pStyle w:val="ListParagraph"/>
        <w:numPr>
          <w:ilvl w:val="0"/>
          <w:numId w:val="29"/>
        </w:numPr>
        <w:tabs>
          <w:tab w:val="left" w:pos="630"/>
          <w:tab w:val="left" w:pos="720"/>
        </w:tabs>
        <w:spacing w:after="0" w:line="240" w:lineRule="auto"/>
        <w:contextualSpacing w:val="0"/>
        <w:jc w:val="both"/>
        <w:rPr>
          <w:rFonts w:eastAsia="Times New Roman" w:cs="Times New Roman"/>
          <w:sz w:val="24"/>
          <w:szCs w:val="24"/>
        </w:rPr>
      </w:pPr>
      <w:r w:rsidRPr="00C81872">
        <w:rPr>
          <w:rFonts w:eastAsia="Times New Roman" w:cs="Times New Roman"/>
          <w:sz w:val="24"/>
          <w:szCs w:val="24"/>
        </w:rPr>
        <w:t>Pendekatan yang didasarkan atas aspek manfaat.</w:t>
      </w:r>
    </w:p>
    <w:p w:rsidR="00DB64AE" w:rsidRPr="00C81872" w:rsidRDefault="00DB64AE" w:rsidP="00C81872">
      <w:pPr>
        <w:pStyle w:val="ListParagraph"/>
        <w:numPr>
          <w:ilvl w:val="0"/>
          <w:numId w:val="29"/>
        </w:numPr>
        <w:tabs>
          <w:tab w:val="left" w:pos="630"/>
          <w:tab w:val="left" w:pos="720"/>
        </w:tabs>
        <w:spacing w:after="0" w:line="240" w:lineRule="auto"/>
        <w:contextualSpacing w:val="0"/>
        <w:jc w:val="both"/>
        <w:rPr>
          <w:rFonts w:eastAsia="Times New Roman" w:cs="Times New Roman"/>
          <w:sz w:val="24"/>
          <w:szCs w:val="24"/>
        </w:rPr>
      </w:pPr>
      <w:r w:rsidRPr="00C81872">
        <w:rPr>
          <w:rFonts w:eastAsia="Times New Roman" w:cs="Times New Roman"/>
          <w:sz w:val="24"/>
          <w:szCs w:val="24"/>
        </w:rPr>
        <w:t>Pendekatan yang didasarkan atas aspek biaya.</w:t>
      </w:r>
    </w:p>
    <w:p w:rsidR="00DB64AE" w:rsidRPr="00C81872" w:rsidRDefault="00DB64AE" w:rsidP="00C81872">
      <w:pPr>
        <w:pStyle w:val="ListParagraph"/>
        <w:numPr>
          <w:ilvl w:val="0"/>
          <w:numId w:val="29"/>
        </w:numPr>
        <w:tabs>
          <w:tab w:val="left" w:pos="630"/>
          <w:tab w:val="left" w:pos="720"/>
        </w:tabs>
        <w:spacing w:after="0" w:line="240" w:lineRule="auto"/>
        <w:contextualSpacing w:val="0"/>
        <w:jc w:val="both"/>
        <w:rPr>
          <w:rFonts w:eastAsia="Times New Roman" w:cs="Times New Roman"/>
          <w:sz w:val="24"/>
          <w:szCs w:val="24"/>
        </w:rPr>
      </w:pPr>
      <w:r w:rsidRPr="00C81872">
        <w:rPr>
          <w:rFonts w:eastAsia="Times New Roman" w:cs="Times New Roman"/>
          <w:sz w:val="24"/>
          <w:szCs w:val="24"/>
        </w:rPr>
        <w:t>Pendekatan dengan menggunakan teknik input-output.</w:t>
      </w:r>
    </w:p>
    <w:p w:rsidR="00DB64AE" w:rsidRPr="00C81872" w:rsidRDefault="00DB64AE" w:rsidP="00C81872">
      <w:pPr>
        <w:pStyle w:val="ListParagraph"/>
        <w:numPr>
          <w:ilvl w:val="0"/>
          <w:numId w:val="29"/>
        </w:numPr>
        <w:tabs>
          <w:tab w:val="left" w:pos="630"/>
          <w:tab w:val="left" w:pos="720"/>
        </w:tabs>
        <w:spacing w:after="0" w:line="240" w:lineRule="auto"/>
        <w:contextualSpacing w:val="0"/>
        <w:jc w:val="both"/>
        <w:rPr>
          <w:rFonts w:eastAsia="Times New Roman" w:cs="Times New Roman"/>
          <w:sz w:val="24"/>
          <w:szCs w:val="24"/>
        </w:rPr>
      </w:pPr>
      <w:r w:rsidRPr="00C81872">
        <w:rPr>
          <w:rFonts w:eastAsia="Times New Roman" w:cs="Times New Roman"/>
          <w:sz w:val="24"/>
          <w:szCs w:val="24"/>
        </w:rPr>
        <w:t>Pendekatan dengan menggunakan program linier.</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Selain itu dampaknya akan terasa pada lajunya pertumbuhan ekonomi. Digalakannya perkembangan industry untuk menopang lajunya pertumbuhan ekonomi tidak dapat dihindari pengaruhnya terhadap lingkungan, maka dengan semakin meningkatnya kegiatan industry, maka akan semakin beraneka ragam dan semakin besar pula volume limbah yang dihasilkan.</w:t>
      </w:r>
      <w:r w:rsidRPr="00C81872">
        <w:rPr>
          <w:rStyle w:val="FootnoteReference"/>
          <w:rFonts w:eastAsia="Times New Roman" w:cs="Times New Roman"/>
          <w:sz w:val="24"/>
          <w:szCs w:val="24"/>
          <w:lang w:val="en-US"/>
        </w:rPr>
        <w:footnoteReference w:id="39"/>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Untuk mengatasinya perlu dipikirkan penanggulangannya dalam diri perusahaan yang melakukan kegiatan, yaitu melalui :</w:t>
      </w:r>
    </w:p>
    <w:p w:rsidR="00DB64AE" w:rsidRPr="00C81872" w:rsidRDefault="00DB64AE" w:rsidP="00C81872">
      <w:pPr>
        <w:pStyle w:val="ListParagraph"/>
        <w:numPr>
          <w:ilvl w:val="0"/>
          <w:numId w:val="24"/>
        </w:numPr>
        <w:tabs>
          <w:tab w:val="left" w:pos="630"/>
          <w:tab w:val="left" w:pos="720"/>
        </w:tabs>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Pengolahan limbah.</w:t>
      </w:r>
    </w:p>
    <w:p w:rsidR="00DB64AE" w:rsidRPr="00C81872" w:rsidRDefault="00DB64AE" w:rsidP="00C81872">
      <w:pPr>
        <w:pStyle w:val="ListParagraph"/>
        <w:numPr>
          <w:ilvl w:val="0"/>
          <w:numId w:val="24"/>
        </w:numPr>
        <w:tabs>
          <w:tab w:val="left" w:pos="630"/>
          <w:tab w:val="left" w:pos="720"/>
        </w:tabs>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Daur ulang.</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Dalam daur ulang ini, semacam pengolahan limbah, sehingga dari limbah itu dapat dihasilkan produk yang dapat dimanfaatkan untuk keperluan kehidupan, misalnya bahan bangunan, bahan jalan dan untuk keperluan lainnya.</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Sistem ini tepat dilaksanakan dengan tidak/tanpa menerapkan bentuk-bentuk sanksi hukum, yang kadang-kadang justru menimbulkan permasalahan sekelompok masyarakat lainnya. Misalnya ada perusahaan industry yang belum dilengkapi peralatan pengolahan limbah sehingga dalam kegiatan produksinya tidak dapat dihindari memproduksi limbah pula, karena </w:t>
      </w:r>
      <w:r w:rsidRPr="00C81872">
        <w:rPr>
          <w:rFonts w:eastAsia="Times New Roman" w:cs="Times New Roman"/>
          <w:sz w:val="24"/>
          <w:szCs w:val="24"/>
          <w:lang w:val="en-US"/>
        </w:rPr>
        <w:lastRenderedPageBreak/>
        <w:t>keadaan demikian memungkinkan terjadinya claim dari masyarakat sekitar mengingat lingkungan yang tercemar, perikanan tidak dapat berkembang seperti biasanya dan sebagainya. Membuka peluang dilakukan gugatan perdata atau tindakan administrative. Dengan kemungkinan dijatuhkannya sanksi tersebut yang berupa mengganti biaya pemulihan atau ganti kerugian, dapat pula berupa penutupan perusahaan hal ini akan berdampak langsung pada perusahaan yang bersangkutan dan lebih jauh pada buruh atau karyawan, namun apabila keadaan demikianpun didiamkan saja akibatnya akan lebih fatal lagi dihari kemudian, khususnya terhadap lingkungan dan pemanfaatan lingkungan (sumber daya).</w:t>
      </w:r>
      <w:r w:rsidRPr="00C81872">
        <w:rPr>
          <w:rStyle w:val="FootnoteReference"/>
          <w:rFonts w:eastAsia="Times New Roman" w:cs="Times New Roman"/>
          <w:sz w:val="24"/>
          <w:szCs w:val="24"/>
          <w:lang w:val="en-US"/>
        </w:rPr>
        <w:footnoteReference w:id="40"/>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Masalah ganti kerugian dan pemulihan lingkungan dalam Undang-undang Nomor 32 Tahun 2009 diatur dalam Pasal 87, dengan ketentuan para perusak atau pencemar lingkungan memikul tanggung jawab dengan wajib membayar ganti kerugian kepada penderita yang telah dilanggar haknya atas lingkungan hidup yang baik dan sehat, selain itu juga diwajibkan membayar biaya-biaya pemulihan lingkungan hidup kepada Negara.</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Bentuk dan jenis kerugian ini ditentukan oleh tim yang dibentuk oleh pemerintah dan sekaligus juga ditentukan besarnya kerugian. Tim yang dibentuk tersebut terdiri dari unsur-unsur :</w:t>
      </w:r>
      <w:r w:rsidRPr="00C81872">
        <w:rPr>
          <w:rStyle w:val="FootnoteReference"/>
          <w:rFonts w:eastAsia="Times New Roman" w:cs="Times New Roman"/>
          <w:sz w:val="24"/>
          <w:szCs w:val="24"/>
          <w:lang w:val="en-US"/>
        </w:rPr>
        <w:footnoteReference w:id="41"/>
      </w:r>
    </w:p>
    <w:p w:rsidR="00DB64AE" w:rsidRPr="00C81872" w:rsidRDefault="00DB64AE" w:rsidP="00C81872">
      <w:pPr>
        <w:pStyle w:val="ListParagraph"/>
        <w:numPr>
          <w:ilvl w:val="0"/>
          <w:numId w:val="25"/>
        </w:numPr>
        <w:tabs>
          <w:tab w:val="left" w:pos="630"/>
          <w:tab w:val="left" w:pos="720"/>
        </w:tabs>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Penderita atau kuasanya.</w:t>
      </w:r>
    </w:p>
    <w:p w:rsidR="00DB64AE" w:rsidRPr="00C81872" w:rsidRDefault="00DB64AE" w:rsidP="00C81872">
      <w:pPr>
        <w:pStyle w:val="ListParagraph"/>
        <w:numPr>
          <w:ilvl w:val="0"/>
          <w:numId w:val="25"/>
        </w:numPr>
        <w:tabs>
          <w:tab w:val="left" w:pos="630"/>
          <w:tab w:val="left" w:pos="720"/>
        </w:tabs>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Pencemar atau kuasanya.</w:t>
      </w:r>
    </w:p>
    <w:p w:rsidR="00DB64AE" w:rsidRPr="00C81872" w:rsidRDefault="00DB64AE" w:rsidP="00C81872">
      <w:pPr>
        <w:pStyle w:val="ListParagraph"/>
        <w:numPr>
          <w:ilvl w:val="0"/>
          <w:numId w:val="25"/>
        </w:numPr>
        <w:tabs>
          <w:tab w:val="left" w:pos="630"/>
          <w:tab w:val="left" w:pos="720"/>
        </w:tabs>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Pemerintah (dibentuk untuk tiap-tiap kasus).</w:t>
      </w:r>
    </w:p>
    <w:p w:rsidR="00DB64AE" w:rsidRPr="00C81872" w:rsidRDefault="00DB64AE" w:rsidP="00C81872">
      <w:pPr>
        <w:pStyle w:val="ListParagraph"/>
        <w:numPr>
          <w:ilvl w:val="0"/>
          <w:numId w:val="25"/>
        </w:numPr>
        <w:tabs>
          <w:tab w:val="left" w:pos="630"/>
          <w:tab w:val="left" w:pos="720"/>
        </w:tabs>
        <w:spacing w:after="0" w:line="240" w:lineRule="auto"/>
        <w:contextualSpacing w:val="0"/>
        <w:jc w:val="both"/>
        <w:rPr>
          <w:rFonts w:eastAsia="Times New Roman" w:cs="Times New Roman"/>
          <w:sz w:val="24"/>
          <w:szCs w:val="24"/>
          <w:lang w:val="en-US"/>
        </w:rPr>
      </w:pPr>
      <w:r w:rsidRPr="00C81872">
        <w:rPr>
          <w:rFonts w:eastAsia="Times New Roman" w:cs="Times New Roman"/>
          <w:sz w:val="24"/>
          <w:szCs w:val="24"/>
          <w:lang w:val="en-US"/>
        </w:rPr>
        <w:t>Tenaga ahli (apabila diperlukan).</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Komposisi demikian sudah cukup tepat di mana masing-masing terwakili sesuai </w:t>
      </w:r>
      <w:r w:rsidRPr="00C81872">
        <w:rPr>
          <w:rFonts w:eastAsia="Times New Roman" w:cs="Times New Roman"/>
          <w:sz w:val="24"/>
          <w:szCs w:val="24"/>
          <w:lang w:val="en-US"/>
        </w:rPr>
        <w:lastRenderedPageBreak/>
        <w:t>dengan kepentingannya bahkan dapat berbicara sesuai dengan kepentingannya pula, keputusan yang diambil tidak akan menimbulkan keresahan sehingga kesepakatan dapat terpenuhi.</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Penyelesaian kasus lingkungan seperti tersebut di atas dengan mempergunakan bantuan tim yang dibentuk pemerintah merupakan cara yang cukup efektif. Tindakan ini dilakukan sebagai langkah awal dengan mendengar berbagai pihak yang terlibat (sebagai anggota) guna diperoleh kesepakatan mengenai kerugian dan besarnya ganti kerugian maupun pemulihannya. Namun apabila kata sepakat itu tidak tercapai dalam batas waktu tertentu, maka penyelesaiannya dilakukan melalui proses pengadilan.</w:t>
      </w:r>
      <w:r w:rsidRPr="00C81872">
        <w:rPr>
          <w:rStyle w:val="FootnoteReference"/>
          <w:rFonts w:eastAsia="Times New Roman" w:cs="Times New Roman"/>
          <w:sz w:val="24"/>
          <w:szCs w:val="24"/>
          <w:lang w:val="en-US"/>
        </w:rPr>
        <w:footnoteReference w:id="42"/>
      </w:r>
    </w:p>
    <w:p w:rsidR="00DB64AE" w:rsidRPr="00C81872" w:rsidRDefault="00DB64AE" w:rsidP="00C81872">
      <w:pPr>
        <w:tabs>
          <w:tab w:val="left" w:pos="630"/>
          <w:tab w:val="left" w:pos="720"/>
        </w:tabs>
        <w:spacing w:after="0" w:line="240" w:lineRule="auto"/>
        <w:ind w:firstLine="720"/>
        <w:jc w:val="both"/>
        <w:rPr>
          <w:rFonts w:eastAsia="Times New Roman" w:cs="Times New Roman"/>
          <w:sz w:val="24"/>
          <w:szCs w:val="24"/>
          <w:lang w:val="en-US"/>
        </w:rPr>
      </w:pPr>
    </w:p>
    <w:p w:rsidR="00DB64AE" w:rsidRPr="00C81872" w:rsidRDefault="00DB64AE" w:rsidP="00C81872">
      <w:pPr>
        <w:pStyle w:val="ListParagraph"/>
        <w:numPr>
          <w:ilvl w:val="0"/>
          <w:numId w:val="16"/>
        </w:numPr>
        <w:spacing w:after="0" w:line="240" w:lineRule="auto"/>
        <w:ind w:hanging="720"/>
        <w:contextualSpacing w:val="0"/>
        <w:jc w:val="both"/>
        <w:rPr>
          <w:rFonts w:cs="Times New Roman"/>
          <w:b/>
          <w:sz w:val="24"/>
          <w:szCs w:val="24"/>
        </w:rPr>
      </w:pPr>
      <w:r w:rsidRPr="00C81872">
        <w:rPr>
          <w:rFonts w:eastAsia="Times New Roman" w:cs="Times New Roman"/>
          <w:b/>
          <w:sz w:val="24"/>
          <w:szCs w:val="24"/>
          <w:lang w:val="en-US"/>
        </w:rPr>
        <w:t>K</w:t>
      </w:r>
      <w:r w:rsidRPr="00C81872">
        <w:rPr>
          <w:rFonts w:eastAsia="Times New Roman" w:cs="Times New Roman"/>
          <w:b/>
          <w:sz w:val="24"/>
          <w:szCs w:val="24"/>
        </w:rPr>
        <w:t>ewenangan pemerintah dalam melakukan pengawasan terhadap pengelolaan usaha pertambangan</w:t>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lang w:val="en-US"/>
        </w:rPr>
      </w:pPr>
      <w:r w:rsidRPr="00C81872">
        <w:rPr>
          <w:rFonts w:eastAsia="Times New Roman" w:cs="Times New Roman"/>
          <w:sz w:val="24"/>
          <w:szCs w:val="24"/>
          <w:lang w:val="en-US"/>
        </w:rPr>
        <w:t>Perbuatan h</w:t>
      </w:r>
      <w:r w:rsidRPr="00C81872">
        <w:rPr>
          <w:rFonts w:eastAsia="Times New Roman" w:cs="Times New Roman"/>
          <w:sz w:val="24"/>
          <w:szCs w:val="24"/>
        </w:rPr>
        <w:t>u</w:t>
      </w:r>
      <w:r w:rsidRPr="00C81872">
        <w:rPr>
          <w:rFonts w:eastAsia="Times New Roman" w:cs="Times New Roman"/>
          <w:sz w:val="24"/>
          <w:szCs w:val="24"/>
          <w:lang w:val="en-US"/>
        </w:rPr>
        <w:t>kum oleh pemerintah dapat berupa peraturan atau mengatur, yaitu suatu perbuatan h</w:t>
      </w:r>
      <w:r w:rsidRPr="00C81872">
        <w:rPr>
          <w:rFonts w:eastAsia="Times New Roman" w:cs="Times New Roman"/>
          <w:sz w:val="24"/>
          <w:szCs w:val="24"/>
        </w:rPr>
        <w:t>u</w:t>
      </w:r>
      <w:r w:rsidRPr="00C81872">
        <w:rPr>
          <w:rFonts w:eastAsia="Times New Roman" w:cs="Times New Roman"/>
          <w:sz w:val="24"/>
          <w:szCs w:val="24"/>
          <w:lang w:val="en-US"/>
        </w:rPr>
        <w:t>kum publi</w:t>
      </w:r>
      <w:r w:rsidRPr="00C81872">
        <w:rPr>
          <w:rFonts w:eastAsia="Times New Roman" w:cs="Times New Roman"/>
          <w:sz w:val="24"/>
          <w:szCs w:val="24"/>
        </w:rPr>
        <w:t>k</w:t>
      </w:r>
      <w:r w:rsidRPr="00C81872">
        <w:rPr>
          <w:rFonts w:eastAsia="Times New Roman" w:cs="Times New Roman"/>
          <w:sz w:val="24"/>
          <w:szCs w:val="24"/>
          <w:lang w:val="en-US"/>
        </w:rPr>
        <w:t xml:space="preserve"> pemerintah yang bersegi satu atau sepihak (</w:t>
      </w:r>
      <w:r w:rsidRPr="00C81872">
        <w:rPr>
          <w:rFonts w:eastAsia="Times New Roman" w:cs="Times New Roman"/>
          <w:i/>
          <w:sz w:val="24"/>
          <w:szCs w:val="24"/>
          <w:lang w:val="en-US"/>
        </w:rPr>
        <w:t>eenzijdige publiekrechtelijke handeling</w:t>
      </w:r>
      <w:r w:rsidRPr="00C81872">
        <w:rPr>
          <w:rFonts w:eastAsia="Times New Roman" w:cs="Times New Roman"/>
          <w:sz w:val="24"/>
          <w:szCs w:val="24"/>
          <w:lang w:val="en-US"/>
        </w:rPr>
        <w:t>) yang mengikat atau berlaku secara umum sesuai dengan peraturan perundang-undangan yang menjadi dasar pengaturannya. Wewenang mengatur atau peraturan berkaitan dengan kekuasaan atau otoritas yang harus ditaati oleh pihak yang diatur. Pengaturan ini berbeda dengan pembuatan undang-undang atau legislasi, yaitu pembuatan peraturan perundang-undangan untuk mengatur kelakuan social yang dilakukan secara spesifik oleh suatu badan representatis atau perwakilan.</w:t>
      </w:r>
      <w:r w:rsidRPr="00C81872">
        <w:rPr>
          <w:rStyle w:val="FootnoteReference"/>
          <w:rFonts w:eastAsia="Times New Roman" w:cs="Times New Roman"/>
          <w:sz w:val="24"/>
          <w:szCs w:val="24"/>
          <w:lang w:val="en-US"/>
        </w:rPr>
        <w:footnoteReference w:id="43"/>
      </w:r>
    </w:p>
    <w:p w:rsidR="00DB64AE" w:rsidRPr="00C81872" w:rsidRDefault="00DB64AE" w:rsidP="00D24978">
      <w:pPr>
        <w:pStyle w:val="ListParagraph"/>
        <w:spacing w:after="0" w:line="240" w:lineRule="auto"/>
        <w:ind w:left="0" w:firstLine="284"/>
        <w:contextualSpacing w:val="0"/>
        <w:jc w:val="both"/>
        <w:rPr>
          <w:rFonts w:eastAsia="Times New Roman" w:cs="Times New Roman"/>
          <w:sz w:val="24"/>
          <w:szCs w:val="24"/>
          <w:lang w:val="en-US"/>
        </w:rPr>
      </w:pPr>
      <w:r w:rsidRPr="00C81872">
        <w:rPr>
          <w:rFonts w:eastAsia="Times New Roman" w:cs="Times New Roman"/>
          <w:sz w:val="24"/>
          <w:szCs w:val="24"/>
          <w:lang w:val="en-US"/>
        </w:rPr>
        <w:t xml:space="preserve">Hak untuk mengatur dari Negara atau pemerintah disebut sebagai wewenang atau kewenangan atau </w:t>
      </w:r>
      <w:r w:rsidRPr="00C81872">
        <w:rPr>
          <w:rFonts w:eastAsia="Times New Roman" w:cs="Times New Roman"/>
          <w:i/>
          <w:sz w:val="24"/>
          <w:szCs w:val="24"/>
          <w:lang w:val="en-US"/>
        </w:rPr>
        <w:t>bevoegdheid</w:t>
      </w:r>
      <w:r w:rsidRPr="00C81872">
        <w:rPr>
          <w:rFonts w:eastAsia="Times New Roman" w:cs="Times New Roman"/>
          <w:sz w:val="24"/>
          <w:szCs w:val="24"/>
          <w:lang w:val="en-US"/>
        </w:rPr>
        <w:t xml:space="preserve">. Wewenang tersebut haruslah sah  atau </w:t>
      </w:r>
      <w:r w:rsidRPr="00C81872">
        <w:rPr>
          <w:rFonts w:eastAsia="Times New Roman" w:cs="Times New Roman"/>
          <w:i/>
          <w:sz w:val="24"/>
          <w:szCs w:val="24"/>
          <w:lang w:val="en-US"/>
        </w:rPr>
        <w:lastRenderedPageBreak/>
        <w:t xml:space="preserve">rechtmatig </w:t>
      </w:r>
      <w:r w:rsidRPr="00C81872">
        <w:rPr>
          <w:rFonts w:eastAsia="Times New Roman" w:cs="Times New Roman"/>
          <w:sz w:val="24"/>
          <w:szCs w:val="24"/>
          <w:lang w:val="en-US"/>
        </w:rPr>
        <w:t xml:space="preserve"> yang memiliki tiga fungsi, yaitu :</w:t>
      </w:r>
      <w:r w:rsidRPr="00C81872">
        <w:rPr>
          <w:rStyle w:val="FootnoteReference"/>
          <w:rFonts w:eastAsia="Times New Roman" w:cs="Times New Roman"/>
          <w:sz w:val="24"/>
          <w:szCs w:val="24"/>
          <w:lang w:val="en-US"/>
        </w:rPr>
        <w:footnoteReference w:id="44"/>
      </w:r>
    </w:p>
    <w:p w:rsidR="00DB64AE" w:rsidRPr="00C81872" w:rsidRDefault="00DB64AE" w:rsidP="00D24978">
      <w:pPr>
        <w:pStyle w:val="ListParagraph"/>
        <w:numPr>
          <w:ilvl w:val="0"/>
          <w:numId w:val="17"/>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bagi aparat pemerintahan, asas keabsahan berfungsi sebagai norma pemerintahan (</w:t>
      </w:r>
      <w:r w:rsidRPr="00C81872">
        <w:rPr>
          <w:rFonts w:eastAsia="Times New Roman" w:cs="Times New Roman"/>
          <w:i/>
          <w:sz w:val="24"/>
          <w:szCs w:val="24"/>
          <w:lang w:val="en-US"/>
        </w:rPr>
        <w:t>bestuurnormen</w:t>
      </w:r>
      <w:r w:rsidRPr="00C81872">
        <w:rPr>
          <w:rFonts w:eastAsia="Times New Roman" w:cs="Times New Roman"/>
          <w:sz w:val="24"/>
          <w:szCs w:val="24"/>
          <w:lang w:val="en-US"/>
        </w:rPr>
        <w:t>);</w:t>
      </w:r>
    </w:p>
    <w:p w:rsidR="00DB64AE" w:rsidRPr="00C81872" w:rsidRDefault="00DB64AE" w:rsidP="00D24978">
      <w:pPr>
        <w:pStyle w:val="ListParagraph"/>
        <w:numPr>
          <w:ilvl w:val="0"/>
          <w:numId w:val="17"/>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bagi masyarakat, asas keabsahan berfungsi sebagai alasan mengajukan gugatan terhadap pihak pemerintah (</w:t>
      </w:r>
      <w:r w:rsidRPr="00C81872">
        <w:rPr>
          <w:rFonts w:eastAsia="Times New Roman" w:cs="Times New Roman"/>
          <w:i/>
          <w:sz w:val="24"/>
          <w:szCs w:val="24"/>
          <w:lang w:val="en-US"/>
        </w:rPr>
        <w:t>beroepsgronden</w:t>
      </w:r>
      <w:r w:rsidRPr="00C81872">
        <w:rPr>
          <w:rFonts w:eastAsia="Times New Roman" w:cs="Times New Roman"/>
          <w:sz w:val="24"/>
          <w:szCs w:val="24"/>
          <w:lang w:val="en-US"/>
        </w:rPr>
        <w:t>);</w:t>
      </w:r>
    </w:p>
    <w:p w:rsidR="00DB64AE" w:rsidRPr="00C81872" w:rsidRDefault="00DB64AE" w:rsidP="00D24978">
      <w:pPr>
        <w:pStyle w:val="ListParagraph"/>
        <w:numPr>
          <w:ilvl w:val="0"/>
          <w:numId w:val="17"/>
        </w:numPr>
        <w:spacing w:after="0" w:line="240" w:lineRule="auto"/>
        <w:ind w:left="709"/>
        <w:contextualSpacing w:val="0"/>
        <w:jc w:val="both"/>
        <w:rPr>
          <w:rFonts w:eastAsia="Times New Roman" w:cs="Times New Roman"/>
          <w:sz w:val="24"/>
          <w:szCs w:val="24"/>
          <w:lang w:val="en-US"/>
        </w:rPr>
      </w:pPr>
      <w:r w:rsidRPr="00C81872">
        <w:rPr>
          <w:rFonts w:eastAsia="Times New Roman" w:cs="Times New Roman"/>
          <w:sz w:val="24"/>
          <w:szCs w:val="24"/>
          <w:lang w:val="en-US"/>
        </w:rPr>
        <w:t>bagi hakim, asas keabsahan berfungsi sebagai dasar pengujian suatu tindak pemerintah (</w:t>
      </w:r>
      <w:r w:rsidRPr="00C81872">
        <w:rPr>
          <w:rFonts w:eastAsia="Times New Roman" w:cs="Times New Roman"/>
          <w:i/>
          <w:sz w:val="24"/>
          <w:szCs w:val="24"/>
          <w:lang w:val="en-US"/>
        </w:rPr>
        <w:t>toetsingsgronden</w:t>
      </w:r>
      <w:r w:rsidRPr="00C81872">
        <w:rPr>
          <w:rFonts w:eastAsia="Times New Roman" w:cs="Times New Roman"/>
          <w:sz w:val="24"/>
          <w:szCs w:val="24"/>
          <w:lang w:val="en-US"/>
        </w:rPr>
        <w:t>).</w:t>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Jadi, persoalan kewenangan tidak terlepas kaitannya dengan Hukum Tata Negara atau Hukum Administrasi Negara (Hukum Tata Pemerintahan), karena  kedua bidang h</w:t>
      </w:r>
      <w:r w:rsidRPr="00C81872">
        <w:rPr>
          <w:rFonts w:eastAsia="Times New Roman" w:cs="Times New Roman"/>
          <w:sz w:val="24"/>
          <w:szCs w:val="24"/>
        </w:rPr>
        <w:t>u</w:t>
      </w:r>
      <w:r w:rsidRPr="00C81872">
        <w:rPr>
          <w:rFonts w:eastAsia="Times New Roman" w:cs="Times New Roman"/>
          <w:sz w:val="24"/>
          <w:szCs w:val="24"/>
          <w:lang w:val="en-US"/>
        </w:rPr>
        <w:t>kum tersebut mengatur tentang kewenangan. Hukum administrasi berisi norma h</w:t>
      </w:r>
      <w:r w:rsidRPr="00C81872">
        <w:rPr>
          <w:rFonts w:eastAsia="Times New Roman" w:cs="Times New Roman"/>
          <w:sz w:val="24"/>
          <w:szCs w:val="24"/>
        </w:rPr>
        <w:t>u</w:t>
      </w:r>
      <w:r w:rsidRPr="00C81872">
        <w:rPr>
          <w:rFonts w:eastAsia="Times New Roman" w:cs="Times New Roman"/>
          <w:sz w:val="24"/>
          <w:szCs w:val="24"/>
          <w:lang w:val="en-US"/>
        </w:rPr>
        <w:t>kum pemerintahan yang menjadi parameter terhadap penggunaan kewenangan oleh badan-badan pemerintah. Parameter yang dipakai dalam penggunaan tersebut adalah kepatuhan h</w:t>
      </w:r>
      <w:r w:rsidRPr="00C81872">
        <w:rPr>
          <w:rFonts w:eastAsia="Times New Roman" w:cs="Times New Roman"/>
          <w:sz w:val="24"/>
          <w:szCs w:val="24"/>
        </w:rPr>
        <w:t>u</w:t>
      </w:r>
      <w:r w:rsidRPr="00C81872">
        <w:rPr>
          <w:rFonts w:eastAsia="Times New Roman" w:cs="Times New Roman"/>
          <w:sz w:val="24"/>
          <w:szCs w:val="24"/>
          <w:lang w:val="en-US"/>
        </w:rPr>
        <w:t>kum atau ketidakpatuhan hukum (</w:t>
      </w:r>
      <w:r w:rsidRPr="00C81872">
        <w:rPr>
          <w:rFonts w:eastAsia="Times New Roman" w:cs="Times New Roman"/>
          <w:i/>
          <w:sz w:val="24"/>
          <w:szCs w:val="24"/>
          <w:lang w:val="en-US"/>
        </w:rPr>
        <w:t>improper legal or improper illegal</w:t>
      </w:r>
      <w:r w:rsidRPr="00C81872">
        <w:rPr>
          <w:rFonts w:eastAsia="Times New Roman" w:cs="Times New Roman"/>
          <w:sz w:val="24"/>
          <w:szCs w:val="24"/>
          <w:lang w:val="en-US"/>
        </w:rPr>
        <w:t xml:space="preserve">). Apabila terjadi penggunaan kewenangan secara </w:t>
      </w:r>
      <w:r w:rsidRPr="00C81872">
        <w:rPr>
          <w:rFonts w:eastAsia="Times New Roman" w:cs="Times New Roman"/>
          <w:i/>
          <w:sz w:val="24"/>
          <w:szCs w:val="24"/>
          <w:lang w:val="en-US"/>
        </w:rPr>
        <w:t xml:space="preserve">improrer illegal </w:t>
      </w:r>
      <w:r w:rsidRPr="00C81872">
        <w:rPr>
          <w:rFonts w:eastAsia="Times New Roman" w:cs="Times New Roman"/>
          <w:sz w:val="24"/>
          <w:szCs w:val="24"/>
          <w:lang w:val="en-US"/>
        </w:rPr>
        <w:t>maka badan pemerintah yang berwenang harus mempertanggungjawabkan secara h</w:t>
      </w:r>
      <w:r w:rsidRPr="00C81872">
        <w:rPr>
          <w:rFonts w:eastAsia="Times New Roman" w:cs="Times New Roman"/>
          <w:sz w:val="24"/>
          <w:szCs w:val="24"/>
        </w:rPr>
        <w:t>u</w:t>
      </w:r>
      <w:r w:rsidRPr="00C81872">
        <w:rPr>
          <w:rFonts w:eastAsia="Times New Roman" w:cs="Times New Roman"/>
          <w:sz w:val="24"/>
          <w:szCs w:val="24"/>
          <w:lang w:val="en-US"/>
        </w:rPr>
        <w:t>kum.</w:t>
      </w:r>
      <w:r w:rsidRPr="00C81872">
        <w:rPr>
          <w:rStyle w:val="FootnoteReference"/>
          <w:rFonts w:eastAsia="Times New Roman" w:cs="Times New Roman"/>
          <w:sz w:val="24"/>
          <w:szCs w:val="24"/>
          <w:lang w:val="en-US"/>
        </w:rPr>
        <w:footnoteReference w:id="45"/>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Suatu kewenangan harus didasarkan pada ketentuan hukum yang berlaku sehingga bersifat sah. Perihal kewenangan dapat dilihat pada konstitusi Negara yang memberikan legitimasi kepada badan public atau lembaga Negara dalam menjalankan fungsinya. Suatu kewenangan dapat diperoleh dari tiga sumber, yaitu atribusi, delegasi dan mandat. Kewenangan atribusi lazim digariskan melalui pembagian kekuasaan Negara yang diatur dalam undang-undang dasar, sedang delegasi dan mandat menurut Philipus M. Hadjon adalah </w:t>
      </w:r>
      <w:r w:rsidRPr="00C81872">
        <w:rPr>
          <w:rFonts w:eastAsia="Times New Roman" w:cs="Times New Roman"/>
          <w:sz w:val="24"/>
          <w:szCs w:val="24"/>
          <w:lang w:val="en-US"/>
        </w:rPr>
        <w:lastRenderedPageBreak/>
        <w:t>terletak pada prosedur pelimpahannya, tanggung jawab dan tanggung gugatnya serta kemungkinan dipergunakannya kembali kewenangan tersebut.</w:t>
      </w:r>
      <w:r w:rsidRPr="00C81872">
        <w:rPr>
          <w:rStyle w:val="FootnoteReference"/>
          <w:rFonts w:eastAsia="Times New Roman" w:cs="Times New Roman"/>
          <w:sz w:val="24"/>
          <w:szCs w:val="24"/>
          <w:lang w:val="en-US"/>
        </w:rPr>
        <w:footnoteReference w:id="46"/>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lang w:val="en-US"/>
        </w:rPr>
        <w:t xml:space="preserve">Dilihat dari prosedur pelimpahannya pada delegasi, pelimpahan wewenang terjadi dari suatu organ pemerintah kepada organ pemerintah lainnya, yang dilakukan berdasarkan peraturan perundang-undangan. Sedang pada mandat pelimpahan wewenang umumnya terjadi dalam hubungan rutin antara bawahan dengan atasan, kecuali yang secara tegas dilarang. Ditinjau dari segi tanggung jawab dan tanggung gugatnya, pada delegasi, tanggung jawab dan tanggung gugatnya beralih kepada </w:t>
      </w:r>
      <w:r w:rsidRPr="00C81872">
        <w:rPr>
          <w:rFonts w:eastAsia="Times New Roman" w:cs="Times New Roman"/>
          <w:i/>
          <w:sz w:val="24"/>
          <w:szCs w:val="24"/>
          <w:lang w:val="en-US"/>
        </w:rPr>
        <w:t xml:space="preserve">delegataris, </w:t>
      </w:r>
      <w:r w:rsidRPr="00C81872">
        <w:rPr>
          <w:rFonts w:eastAsia="Times New Roman" w:cs="Times New Roman"/>
          <w:sz w:val="24"/>
          <w:szCs w:val="24"/>
          <w:lang w:val="en-US"/>
        </w:rPr>
        <w:t>sedang pada mandat tetap berada pada pemberi mandat (</w:t>
      </w:r>
      <w:r w:rsidRPr="00C81872">
        <w:rPr>
          <w:rFonts w:eastAsia="Times New Roman" w:cs="Times New Roman"/>
          <w:i/>
          <w:sz w:val="24"/>
          <w:szCs w:val="24"/>
          <w:lang w:val="en-US"/>
        </w:rPr>
        <w:t>mandans</w:t>
      </w:r>
      <w:r w:rsidRPr="00C81872">
        <w:rPr>
          <w:rFonts w:eastAsia="Times New Roman" w:cs="Times New Roman"/>
          <w:sz w:val="24"/>
          <w:szCs w:val="24"/>
          <w:lang w:val="en-US"/>
        </w:rPr>
        <w:t>). Ditinjau dari segi kemungkinan pemberi wewenang berkehendak menggunakan kembali wewenang tersebut, pada delegasi pemberi wewenang (</w:t>
      </w:r>
      <w:r w:rsidRPr="00C81872">
        <w:rPr>
          <w:rFonts w:eastAsia="Times New Roman" w:cs="Times New Roman"/>
          <w:i/>
          <w:sz w:val="24"/>
          <w:szCs w:val="24"/>
          <w:lang w:val="en-US"/>
        </w:rPr>
        <w:t>delegans</w:t>
      </w:r>
      <w:r w:rsidRPr="00C81872">
        <w:rPr>
          <w:rFonts w:eastAsia="Times New Roman" w:cs="Times New Roman"/>
          <w:sz w:val="24"/>
          <w:szCs w:val="24"/>
          <w:lang w:val="en-US"/>
        </w:rPr>
        <w:t xml:space="preserve">) tidak dapat menggunakan wewenang itu lagi, kecuali setelah ada pencabutan dengan berpegang teguh pada asas </w:t>
      </w:r>
      <w:r w:rsidRPr="00C81872">
        <w:rPr>
          <w:rFonts w:eastAsia="Times New Roman" w:cs="Times New Roman"/>
          <w:i/>
          <w:sz w:val="24"/>
          <w:szCs w:val="24"/>
          <w:lang w:val="en-US"/>
        </w:rPr>
        <w:t>contraries actus</w:t>
      </w:r>
      <w:r w:rsidRPr="00C81872">
        <w:rPr>
          <w:rFonts w:eastAsia="Times New Roman" w:cs="Times New Roman"/>
          <w:sz w:val="24"/>
          <w:szCs w:val="24"/>
          <w:lang w:val="en-US"/>
        </w:rPr>
        <w:t>, sedang pada pemberi mandat wewenang mandat (mandans) setiap saat dapat menggunakan sendiri wewenang yang dilimpahkan.</w:t>
      </w:r>
    </w:p>
    <w:p w:rsidR="00DB64AE" w:rsidRPr="00C81872" w:rsidRDefault="00DB64AE" w:rsidP="00D24978">
      <w:pPr>
        <w:spacing w:after="0" w:line="240" w:lineRule="auto"/>
        <w:ind w:firstLine="284"/>
        <w:jc w:val="both"/>
        <w:rPr>
          <w:rFonts w:eastAsia="Times New Roman" w:cs="Times New Roman"/>
          <w:sz w:val="24"/>
          <w:szCs w:val="24"/>
        </w:rPr>
      </w:pPr>
      <w:r w:rsidRPr="00C81872">
        <w:rPr>
          <w:rFonts w:eastAsia="Times New Roman" w:cs="Times New Roman"/>
          <w:sz w:val="24"/>
          <w:szCs w:val="24"/>
        </w:rPr>
        <w:t>Pada</w:t>
      </w:r>
      <w:r w:rsidRPr="00C81872">
        <w:rPr>
          <w:rFonts w:eastAsia="Times New Roman" w:cs="Times New Roman"/>
          <w:sz w:val="24"/>
          <w:szCs w:val="24"/>
          <w:lang w:val="en-US"/>
        </w:rPr>
        <w:t xml:space="preserve"> umumnya pendudukan, penggarapan dan penghunian tanah kehutanan, perkebunan, PJKA dan tanah Negara lainnya dilakukan oleh rakyat golongan ekonomi lemah untuk memperoleh tanah garapan di pedesaan. Sedang di perkotaan dipergunakan untuk tempat tinggal dan tempat usaha sebagai akibat terjadinya urbanisasi</w:t>
      </w:r>
      <w:r w:rsidRPr="00C81872">
        <w:rPr>
          <w:rFonts w:eastAsia="Times New Roman" w:cs="Times New Roman"/>
          <w:sz w:val="24"/>
          <w:szCs w:val="24"/>
        </w:rPr>
        <w:t>.</w:t>
      </w:r>
      <w:r w:rsidRPr="00C81872">
        <w:rPr>
          <w:rStyle w:val="FootnoteReference"/>
          <w:rFonts w:eastAsia="Times New Roman" w:cs="Times New Roman"/>
          <w:sz w:val="24"/>
          <w:szCs w:val="24"/>
        </w:rPr>
        <w:footnoteReference w:id="47"/>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Pengaturan tentang cara pengosongan tanah dan setiap tindakan pengosongan tanah, baru dapat dilaksanakan setelah terlebih dahulu mendapat persetujuan dari Menteri Dalam Negeri, sebagaimana diatur </w:t>
      </w:r>
      <w:r w:rsidRPr="00C81872">
        <w:rPr>
          <w:rFonts w:eastAsia="Times New Roman" w:cs="Times New Roman"/>
          <w:sz w:val="24"/>
          <w:szCs w:val="24"/>
          <w:lang w:val="en-US"/>
        </w:rPr>
        <w:lastRenderedPageBreak/>
        <w:t>dalam Instruksi Mendagri No. 6 Tahun 1986 tentang pengosongan tanah.</w:t>
      </w:r>
      <w:r w:rsidRPr="00C81872">
        <w:rPr>
          <w:rStyle w:val="FootnoteReference"/>
          <w:rFonts w:eastAsia="Times New Roman" w:cs="Times New Roman"/>
          <w:sz w:val="24"/>
          <w:szCs w:val="24"/>
          <w:lang w:val="en-US"/>
        </w:rPr>
        <w:footnoteReference w:id="48"/>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Permasalahan yang timbul sekarang disebabkan kurang tertibnya administrasi pertanahan dimasa lampau, disamping adanya jarak waktu yang terlalu lama antara penghapusan/pengambilan tanah-tanah partikelir terkena Undang-undang Nomor 1 Tahun 1958 tentang Penghapusan Tanah Pertikelir, dengan saat pelaksanaan pembayaran ganti rugi kepada tiap-tiap bekas pemilik tanah.</w:t>
      </w:r>
      <w:r w:rsidRPr="00C81872">
        <w:rPr>
          <w:rStyle w:val="FootnoteReference"/>
          <w:rFonts w:eastAsia="Times New Roman" w:cs="Times New Roman"/>
          <w:sz w:val="24"/>
          <w:szCs w:val="24"/>
          <w:lang w:val="en-US"/>
        </w:rPr>
        <w:footnoteReference w:id="49"/>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Demikian pula halnya dengan tanah-tanah kelebihan maksimum dan tanah-tanah guntai (absentee) yang direstribusikan sekitar tahun 1960, yang pelaksanaan pembayaran ganti rugi kepada bekas pemilik baru dimulai tahun 1980, yang dinilai belum sesuai dengan nilai tanah sebenarnya.</w:t>
      </w:r>
      <w:r w:rsidRPr="00C81872">
        <w:rPr>
          <w:rFonts w:eastAsia="Times New Roman" w:cs="Times New Roman"/>
          <w:sz w:val="24"/>
          <w:szCs w:val="24"/>
        </w:rPr>
        <w:t xml:space="preserve"> </w:t>
      </w:r>
      <w:r w:rsidRPr="00C81872">
        <w:rPr>
          <w:rFonts w:eastAsia="Times New Roman" w:cs="Times New Roman"/>
          <w:sz w:val="24"/>
          <w:szCs w:val="24"/>
          <w:lang w:val="en-US"/>
        </w:rPr>
        <w:t>Sedangkan mulai tahun 1984 telah dikeluarkan Peraturan Menteri Dalam Negeri No. 13 Tahun 1984 yang bertujuan untuk menyelesaikan besarnya ganti rugi kepada bekas pemilik yang dimaksud.</w:t>
      </w:r>
      <w:r w:rsidRPr="00C81872">
        <w:rPr>
          <w:rStyle w:val="FootnoteReference"/>
          <w:rFonts w:eastAsia="Times New Roman" w:cs="Times New Roman"/>
          <w:sz w:val="24"/>
          <w:szCs w:val="24"/>
          <w:lang w:val="en-US"/>
        </w:rPr>
        <w:footnoteReference w:id="50"/>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 xml:space="preserve">Pengaturan kewenangan pemerintahan di bidang pengelolaan usaha pertambangan juga diatur dalam undang-undang dasar dan undang-undang. Dalam pasal 33 ayat (3) undang-undang dasar 1945 disebutkan bahwa bumi, air dan kekayaan alam yang terkandung di dalamnya dikuasai oleh Negara dan dipergunakan sebesar-besarnya untuk kemakmuran rakyat. Dari kata “dikuasai oleh Negara” terlihat bahwa kewenangan di bidang pengelolaan usaha pertambangan dilaksanakan oleh Negara yang dalam pelaksanaannya dilakukakan oleh pemerintah pusat. Berdasarkan kewenangan yang bersumber pada konstitusi tersebut maka kemudian </w:t>
      </w:r>
      <w:r w:rsidRPr="00C81872">
        <w:rPr>
          <w:rFonts w:eastAsia="Times New Roman" w:cs="Times New Roman"/>
          <w:sz w:val="24"/>
          <w:szCs w:val="24"/>
          <w:lang w:val="en-US"/>
        </w:rPr>
        <w:lastRenderedPageBreak/>
        <w:t xml:space="preserve">diterbitkan undang-undang No. 4 Tahun 2009 tentang pertambangan. </w:t>
      </w:r>
      <w:r w:rsidRPr="00C81872">
        <w:rPr>
          <w:rStyle w:val="FootnoteReference"/>
          <w:rFonts w:eastAsia="Times New Roman" w:cs="Times New Roman"/>
          <w:sz w:val="24"/>
          <w:szCs w:val="24"/>
          <w:lang w:val="en-US"/>
        </w:rPr>
        <w:footnoteReference w:id="51"/>
      </w:r>
    </w:p>
    <w:p w:rsidR="00DB64AE" w:rsidRPr="00C81872" w:rsidRDefault="00DB64AE" w:rsidP="00D24978">
      <w:pPr>
        <w:spacing w:after="0" w:line="240" w:lineRule="auto"/>
        <w:ind w:firstLine="284"/>
        <w:jc w:val="both"/>
        <w:rPr>
          <w:rFonts w:eastAsia="Times New Roman" w:cs="Times New Roman"/>
          <w:sz w:val="24"/>
          <w:szCs w:val="24"/>
          <w:lang w:val="en-US"/>
        </w:rPr>
      </w:pPr>
      <w:r w:rsidRPr="00C81872">
        <w:rPr>
          <w:rFonts w:eastAsia="Times New Roman" w:cs="Times New Roman"/>
          <w:sz w:val="24"/>
          <w:szCs w:val="24"/>
          <w:lang w:val="en-US"/>
        </w:rPr>
        <w:t>Berdasarkan UU-PPLH terdapat 6 (enam) instrument pencegahan kerusakan dan/atau pencemaran dalam rangka pelaksanaan perizinan terpadu bidang lingkungan hidup. Instrument tersebut, yakni Rencana Perlindungan dan Pengelolaan Lingkungan Hidup Strategis (RPPLS), Kajian Lingkungan Hidup Strategis (KLHS), Tata Ruang, Baku Mutu Lingkungan Hidup, Amdal/UKL-UPL, Perundang-undangan Berbasis Lingkungan Hidup. Keenam instrument tersebut, 3 (tiga) instrument sebelumnya tidak diatur oleh Undang-undang Nomor 4 Tahun 1982 dan Undang-undang Nomor 23 Tahun 1997, yakni Rencana Perlindungan dan Pengelolaan Lingkungan Hidup Strategis (RPPLS), Kajian Lingkungan Hidup Strategis (KLHS), dan Perundang-undangan Berbasis Lingkungan Hidup.</w:t>
      </w:r>
      <w:r w:rsidRPr="00C81872">
        <w:rPr>
          <w:rStyle w:val="FootnoteReference"/>
          <w:rFonts w:eastAsia="Times New Roman" w:cs="Times New Roman"/>
          <w:sz w:val="24"/>
          <w:szCs w:val="24"/>
          <w:lang w:val="en-US"/>
        </w:rPr>
        <w:footnoteReference w:id="52"/>
      </w:r>
    </w:p>
    <w:p w:rsidR="00DB64AE" w:rsidRPr="00C81872" w:rsidRDefault="00DB64AE" w:rsidP="00C81872">
      <w:pPr>
        <w:pStyle w:val="ListParagraph"/>
        <w:spacing w:after="0" w:line="240" w:lineRule="auto"/>
        <w:contextualSpacing w:val="0"/>
        <w:jc w:val="both"/>
        <w:rPr>
          <w:rFonts w:cs="Times New Roman"/>
          <w:b/>
          <w:sz w:val="24"/>
          <w:szCs w:val="24"/>
        </w:rPr>
      </w:pPr>
    </w:p>
    <w:p w:rsidR="00DB64AE" w:rsidRPr="00C81872" w:rsidRDefault="00DB64AE" w:rsidP="00FC3D18">
      <w:pPr>
        <w:spacing w:after="0" w:line="240" w:lineRule="auto"/>
        <w:jc w:val="both"/>
        <w:rPr>
          <w:rFonts w:eastAsia="Times New Roman" w:cs="Times New Roman"/>
          <w:b/>
          <w:bCs/>
          <w:sz w:val="24"/>
          <w:szCs w:val="24"/>
        </w:rPr>
      </w:pPr>
      <w:r w:rsidRPr="00C81872">
        <w:rPr>
          <w:rFonts w:eastAsia="Times New Roman" w:cs="Times New Roman"/>
          <w:b/>
          <w:bCs/>
          <w:sz w:val="24"/>
          <w:szCs w:val="24"/>
        </w:rPr>
        <w:t>PENUTUP</w:t>
      </w:r>
    </w:p>
    <w:p w:rsidR="00FC3D18" w:rsidRPr="00FC3D18" w:rsidRDefault="00DB64AE" w:rsidP="00FC3D18">
      <w:pPr>
        <w:pStyle w:val="ListParagraph"/>
        <w:numPr>
          <w:ilvl w:val="0"/>
          <w:numId w:val="30"/>
        </w:numPr>
        <w:spacing w:after="0" w:line="240" w:lineRule="auto"/>
        <w:ind w:left="426"/>
        <w:contextualSpacing w:val="0"/>
        <w:rPr>
          <w:rFonts w:eastAsia="Times New Roman" w:cs="Times New Roman"/>
          <w:sz w:val="24"/>
          <w:szCs w:val="24"/>
        </w:rPr>
      </w:pPr>
      <w:r w:rsidRPr="00C81872">
        <w:rPr>
          <w:rFonts w:eastAsia="Times New Roman" w:cs="Times New Roman"/>
          <w:sz w:val="24"/>
          <w:szCs w:val="24"/>
        </w:rPr>
        <w:t>Kesimpulan</w:t>
      </w:r>
    </w:p>
    <w:p w:rsidR="00DB64AE" w:rsidRPr="00FC3D18" w:rsidRDefault="00DB64AE" w:rsidP="00FC3D18">
      <w:pPr>
        <w:pStyle w:val="ListParagraph"/>
        <w:numPr>
          <w:ilvl w:val="0"/>
          <w:numId w:val="34"/>
        </w:numPr>
        <w:spacing w:after="0" w:line="240" w:lineRule="auto"/>
        <w:ind w:left="284" w:hanging="284"/>
        <w:contextualSpacing w:val="0"/>
        <w:jc w:val="both"/>
        <w:rPr>
          <w:rFonts w:eastAsia="Times New Roman" w:cs="Times New Roman"/>
          <w:sz w:val="24"/>
          <w:szCs w:val="24"/>
        </w:rPr>
      </w:pPr>
      <w:r w:rsidRPr="00FC3D18">
        <w:rPr>
          <w:rFonts w:eastAsia="Times New Roman" w:cs="Times New Roman"/>
          <w:sz w:val="24"/>
          <w:szCs w:val="24"/>
          <w:lang w:val="en-US"/>
        </w:rPr>
        <w:t>Dalam penegakan hukum lingkungan telah diatur segala bentuk pelanggaran maupun kejahatan, bagi pelaku baik yang dilakukan oleh perorangan maupun badan dengan upaya pencegahan (preventif) maupun penindakannya (represif). Untuk tindakan represif ini ada beberapa jenis instrument yang dapat diterapkan dan penerapannya tergantung dari keperluannya, sebagai pertimbangan antara lain melihat dampak yang ditimbulkannya.</w:t>
      </w:r>
      <w:r w:rsidR="00FC3D18" w:rsidRPr="00FC3D18">
        <w:rPr>
          <w:rFonts w:eastAsia="Times New Roman" w:cs="Times New Roman"/>
          <w:sz w:val="24"/>
          <w:szCs w:val="24"/>
          <w:lang w:val="en-US"/>
        </w:rPr>
        <w:t xml:space="preserve"> </w:t>
      </w:r>
      <w:r w:rsidRPr="00FC3D18">
        <w:rPr>
          <w:rFonts w:eastAsia="Times New Roman" w:cs="Times New Roman"/>
          <w:sz w:val="24"/>
          <w:szCs w:val="24"/>
          <w:lang w:val="en-US"/>
        </w:rPr>
        <w:t>Jenis-jenis instrument yang dimaksud meliputi:</w:t>
      </w:r>
      <w:r w:rsidR="00FC3D18" w:rsidRPr="00FC3D18">
        <w:rPr>
          <w:rFonts w:eastAsia="Times New Roman" w:cs="Times New Roman"/>
          <w:sz w:val="24"/>
          <w:szCs w:val="24"/>
          <w:lang w:val="en-US"/>
        </w:rPr>
        <w:t xml:space="preserve"> a. Tindakan Administratif; b. </w:t>
      </w:r>
      <w:r w:rsidRPr="00FC3D18">
        <w:rPr>
          <w:rFonts w:eastAsia="Times New Roman" w:cs="Times New Roman"/>
          <w:sz w:val="24"/>
          <w:szCs w:val="24"/>
          <w:lang w:val="en-US"/>
        </w:rPr>
        <w:t>Ti</w:t>
      </w:r>
      <w:r w:rsidR="00FC3D18" w:rsidRPr="00FC3D18">
        <w:rPr>
          <w:rFonts w:eastAsia="Times New Roman" w:cs="Times New Roman"/>
          <w:sz w:val="24"/>
          <w:szCs w:val="24"/>
          <w:lang w:val="en-US"/>
        </w:rPr>
        <w:t xml:space="preserve">ndakan Perdata (proses perdata); c. </w:t>
      </w:r>
      <w:r w:rsidRPr="00FC3D18">
        <w:rPr>
          <w:rFonts w:eastAsia="Times New Roman" w:cs="Times New Roman"/>
          <w:sz w:val="24"/>
          <w:szCs w:val="24"/>
          <w:lang w:val="en-US"/>
        </w:rPr>
        <w:t>Tindakan Pidana (proses pidana).</w:t>
      </w:r>
    </w:p>
    <w:p w:rsidR="00DB64AE" w:rsidRPr="00AF7597" w:rsidRDefault="00DB64AE" w:rsidP="00FC3D18">
      <w:pPr>
        <w:pStyle w:val="ListParagraph"/>
        <w:numPr>
          <w:ilvl w:val="0"/>
          <w:numId w:val="34"/>
        </w:numPr>
        <w:spacing w:after="0" w:line="240" w:lineRule="auto"/>
        <w:ind w:left="284" w:hanging="284"/>
        <w:contextualSpacing w:val="0"/>
        <w:jc w:val="both"/>
        <w:rPr>
          <w:rFonts w:eastAsia="Times New Roman" w:cs="Times New Roman"/>
          <w:sz w:val="24"/>
          <w:szCs w:val="24"/>
        </w:rPr>
      </w:pPr>
      <w:r w:rsidRPr="00C81872">
        <w:rPr>
          <w:rFonts w:eastAsia="Times New Roman" w:cs="Times New Roman"/>
          <w:sz w:val="24"/>
          <w:szCs w:val="24"/>
          <w:lang w:val="en-US"/>
        </w:rPr>
        <w:t xml:space="preserve">Wewenang atau kewenangan atau </w:t>
      </w:r>
      <w:r w:rsidRPr="00C81872">
        <w:rPr>
          <w:rFonts w:eastAsia="Times New Roman" w:cs="Times New Roman"/>
          <w:i/>
          <w:sz w:val="24"/>
          <w:szCs w:val="24"/>
          <w:lang w:val="en-US"/>
        </w:rPr>
        <w:t>bevoegdheid</w:t>
      </w:r>
      <w:r w:rsidRPr="00C81872">
        <w:rPr>
          <w:rFonts w:eastAsia="Times New Roman" w:cs="Times New Roman"/>
          <w:i/>
          <w:sz w:val="24"/>
          <w:szCs w:val="24"/>
        </w:rPr>
        <w:t xml:space="preserve"> </w:t>
      </w:r>
      <w:r w:rsidRPr="00C81872">
        <w:rPr>
          <w:rFonts w:eastAsia="Times New Roman" w:cs="Times New Roman"/>
          <w:sz w:val="24"/>
          <w:szCs w:val="24"/>
        </w:rPr>
        <w:t xml:space="preserve">dari pemerintah adalah hak </w:t>
      </w:r>
      <w:r w:rsidRPr="00C81872">
        <w:rPr>
          <w:rFonts w:eastAsia="Times New Roman" w:cs="Times New Roman"/>
          <w:sz w:val="24"/>
          <w:szCs w:val="24"/>
        </w:rPr>
        <w:lastRenderedPageBreak/>
        <w:t xml:space="preserve">untuk mengatur. </w:t>
      </w:r>
      <w:r w:rsidRPr="00C81872">
        <w:rPr>
          <w:rFonts w:eastAsia="Times New Roman" w:cs="Times New Roman"/>
          <w:sz w:val="24"/>
          <w:szCs w:val="24"/>
          <w:lang w:val="en-US"/>
        </w:rPr>
        <w:t>Wewenang mengatur atau peraturan berkaitan dengan kekuasaan atau otoritas yang harus ditaati oleh pihak yang diatur. Pengaturan ini berbeda dengan pembuatan undang-undang atau legislasi, yaitu pembuatan peraturan perundang-undangan untuk mengatur kelakuan social yang dilakukan secara spesifik oleh suatu badan representatis atau perwakilan</w:t>
      </w:r>
      <w:r w:rsidRPr="00C81872">
        <w:rPr>
          <w:rFonts w:eastAsia="Times New Roman" w:cs="Times New Roman"/>
          <w:sz w:val="24"/>
          <w:szCs w:val="24"/>
        </w:rPr>
        <w:t>.</w:t>
      </w:r>
    </w:p>
    <w:p w:rsidR="00AF7597" w:rsidRPr="00C81872" w:rsidRDefault="00AF7597" w:rsidP="00AF7597">
      <w:pPr>
        <w:pStyle w:val="ListParagraph"/>
        <w:spacing w:after="0" w:line="240" w:lineRule="auto"/>
        <w:ind w:left="284"/>
        <w:contextualSpacing w:val="0"/>
        <w:jc w:val="both"/>
        <w:rPr>
          <w:rFonts w:eastAsia="Times New Roman" w:cs="Times New Roman"/>
          <w:sz w:val="24"/>
          <w:szCs w:val="24"/>
        </w:rPr>
      </w:pPr>
    </w:p>
    <w:p w:rsidR="00DB64AE" w:rsidRPr="00C81872" w:rsidRDefault="00DB64AE" w:rsidP="00C81872">
      <w:pPr>
        <w:pStyle w:val="ListParagraph"/>
        <w:numPr>
          <w:ilvl w:val="0"/>
          <w:numId w:val="30"/>
        </w:numPr>
        <w:spacing w:after="0" w:line="240" w:lineRule="auto"/>
        <w:ind w:left="284" w:hanging="284"/>
        <w:contextualSpacing w:val="0"/>
        <w:jc w:val="both"/>
        <w:rPr>
          <w:rFonts w:cs="Times New Roman"/>
          <w:sz w:val="24"/>
          <w:szCs w:val="24"/>
        </w:rPr>
      </w:pPr>
      <w:r w:rsidRPr="00C81872">
        <w:rPr>
          <w:rFonts w:cs="Times New Roman"/>
          <w:sz w:val="24"/>
          <w:szCs w:val="24"/>
        </w:rPr>
        <w:t>Saran</w:t>
      </w:r>
    </w:p>
    <w:p w:rsidR="00DB64AE" w:rsidRPr="00C81872" w:rsidRDefault="00DB64AE" w:rsidP="00AF7597">
      <w:pPr>
        <w:pStyle w:val="ListParagraph"/>
        <w:numPr>
          <w:ilvl w:val="0"/>
          <w:numId w:val="32"/>
        </w:numPr>
        <w:autoSpaceDE w:val="0"/>
        <w:autoSpaceDN w:val="0"/>
        <w:adjustRightInd w:val="0"/>
        <w:spacing w:after="0" w:line="240" w:lineRule="auto"/>
        <w:ind w:left="284" w:hanging="284"/>
        <w:contextualSpacing w:val="0"/>
        <w:jc w:val="both"/>
        <w:rPr>
          <w:rFonts w:cs="Times New Roman"/>
          <w:color w:val="000000"/>
          <w:sz w:val="24"/>
          <w:szCs w:val="24"/>
        </w:rPr>
      </w:pPr>
      <w:r w:rsidRPr="00C81872">
        <w:rPr>
          <w:rFonts w:cs="Times New Roman"/>
          <w:color w:val="000000"/>
          <w:sz w:val="24"/>
          <w:szCs w:val="24"/>
        </w:rPr>
        <w:t>Kegiatan usaha pertambangan walaupun sangat menguntungkan dari segi ekonomi, namun sangat rentang terhadap lingkungan hidup. Sebelum mulai usahanya perusahan-perusahan wajib memiliki izin lingkungan yang merupakan dasar bagi penerbitan uzin usaha, agar semua perusahan termasuk perusahan pertambangan memperhatikan lingkungan hidup. Pemerintah juga harus lebih peka untuk mengontrol apabila terjadi penyimpangan oleh perusahaan pertambangan yang mengakibatkan pencemaran lingkungan hidup. Oleh karena itu perusahan wajib melakukan analisis resiko lingkungan agar mengetahui resiko-resiko apa yang kemungkinan akan terjadi dan mempersiapkan langkah-langkah apa yang akan dilakukan perusahaan.</w:t>
      </w:r>
    </w:p>
    <w:p w:rsidR="00DB64AE" w:rsidRPr="00C81872" w:rsidRDefault="00DB64AE" w:rsidP="00AF7597">
      <w:pPr>
        <w:pStyle w:val="ListParagraph"/>
        <w:numPr>
          <w:ilvl w:val="0"/>
          <w:numId w:val="32"/>
        </w:numPr>
        <w:spacing w:after="0" w:line="240" w:lineRule="auto"/>
        <w:ind w:left="284" w:hanging="284"/>
        <w:contextualSpacing w:val="0"/>
        <w:jc w:val="both"/>
        <w:rPr>
          <w:rFonts w:eastAsia="Times New Roman" w:cs="Times New Roman"/>
          <w:sz w:val="24"/>
          <w:szCs w:val="24"/>
        </w:rPr>
      </w:pPr>
      <w:r w:rsidRPr="00C81872">
        <w:rPr>
          <w:rFonts w:cs="Times New Roman"/>
          <w:sz w:val="24"/>
          <w:szCs w:val="24"/>
        </w:rPr>
        <w:t xml:space="preserve">Pemerintah dan Perusahaan pengelolaan Pertambangan sebaiknya harus benar-benar merealisasikan dan mempraktikan segala ketentuan peraturan perundang-undangan yang telah ada sebagai bentuk kepedulian terhadap lingkungan hidup yang semakin lama akan terus memprihatinkan apabila segala aspek aspek yuridis tersebut hanya dijadikan sebagai wacana. Dengan merealisasikan segala mekanisme peraturan yang ada maka akan terciptalah sebuah negara </w:t>
      </w:r>
      <w:r w:rsidRPr="00C81872">
        <w:rPr>
          <w:rFonts w:cs="Times New Roman"/>
          <w:sz w:val="24"/>
          <w:szCs w:val="24"/>
        </w:rPr>
        <w:lastRenderedPageBreak/>
        <w:t>yang baik akan lingkungan hidup dan sejahtera.</w:t>
      </w:r>
    </w:p>
    <w:p w:rsidR="00DB64AE" w:rsidRPr="00C81872" w:rsidRDefault="00DB64AE" w:rsidP="00C81872">
      <w:pPr>
        <w:spacing w:after="0" w:line="240" w:lineRule="auto"/>
        <w:rPr>
          <w:sz w:val="24"/>
          <w:szCs w:val="24"/>
        </w:rPr>
      </w:pPr>
    </w:p>
    <w:p w:rsidR="00DB64AE" w:rsidRPr="00C81872" w:rsidRDefault="00DB64AE" w:rsidP="00C81872">
      <w:pPr>
        <w:spacing w:after="0" w:line="240" w:lineRule="auto"/>
        <w:jc w:val="center"/>
        <w:rPr>
          <w:rFonts w:cs="Times New Roman"/>
          <w:sz w:val="24"/>
          <w:szCs w:val="24"/>
        </w:rPr>
      </w:pPr>
      <w:r w:rsidRPr="00C81872">
        <w:rPr>
          <w:rFonts w:cs="Times New Roman"/>
          <w:sz w:val="24"/>
          <w:szCs w:val="24"/>
        </w:rPr>
        <w:t>DAFTAR PUSTAKA</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A’an efendi, </w:t>
      </w:r>
      <w:r w:rsidRPr="00C81872">
        <w:rPr>
          <w:rFonts w:cs="Times New Roman"/>
          <w:i/>
          <w:sz w:val="24"/>
          <w:szCs w:val="24"/>
        </w:rPr>
        <w:t>Penyelesaian Sengketa Lingkungan</w:t>
      </w:r>
      <w:r w:rsidRPr="00C81872">
        <w:rPr>
          <w:rFonts w:cs="Times New Roman"/>
          <w:sz w:val="24"/>
          <w:szCs w:val="24"/>
        </w:rPr>
        <w:t>, CV. Mandar Maju, Bandung 2012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Eggi Sudjana Riyanto, </w:t>
      </w:r>
      <w:r w:rsidRPr="00C81872">
        <w:rPr>
          <w:rFonts w:cs="Times New Roman"/>
          <w:i/>
          <w:sz w:val="24"/>
          <w:szCs w:val="24"/>
        </w:rPr>
        <w:t>Penegakan Hukum Lingkungan</w:t>
      </w:r>
      <w:r w:rsidRPr="00C81872">
        <w:rPr>
          <w:rFonts w:cs="Times New Roman"/>
          <w:sz w:val="24"/>
          <w:szCs w:val="24"/>
        </w:rPr>
        <w:t>, PT. Gramedia, Jakarta 1999</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Elza syarief, </w:t>
      </w:r>
      <w:r w:rsidRPr="00C81872">
        <w:rPr>
          <w:rFonts w:cs="Times New Roman"/>
          <w:i/>
          <w:sz w:val="24"/>
          <w:szCs w:val="24"/>
        </w:rPr>
        <w:t>menuntaskan sengketa tanah</w:t>
      </w:r>
      <w:r w:rsidRPr="00C81872">
        <w:rPr>
          <w:rFonts w:cs="Times New Roman"/>
          <w:sz w:val="24"/>
          <w:szCs w:val="24"/>
        </w:rPr>
        <w:t>, KPG (kepustakaan Populer Gramedia), Jakarta 2012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Gatot Supramono, </w:t>
      </w:r>
      <w:r w:rsidRPr="00C81872">
        <w:rPr>
          <w:rFonts w:cs="Times New Roman"/>
          <w:i/>
          <w:sz w:val="24"/>
          <w:szCs w:val="24"/>
        </w:rPr>
        <w:t>Hukum Pertambangan Mineral dan Batu Bara di Indonesia</w:t>
      </w:r>
      <w:r w:rsidRPr="00C81872">
        <w:rPr>
          <w:rFonts w:cs="Times New Roman"/>
          <w:sz w:val="24"/>
          <w:szCs w:val="24"/>
        </w:rPr>
        <w:t>, Rineka Cipta, Jakarta 2012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Gunawan Widjaja, </w:t>
      </w:r>
      <w:r w:rsidRPr="00C81872">
        <w:rPr>
          <w:rFonts w:cs="Times New Roman"/>
          <w:i/>
          <w:sz w:val="24"/>
          <w:szCs w:val="24"/>
        </w:rPr>
        <w:t>Alternatif Penyelesaian Sengketa</w:t>
      </w:r>
      <w:r w:rsidRPr="00C81872">
        <w:rPr>
          <w:rFonts w:cs="Times New Roman"/>
          <w:sz w:val="24"/>
          <w:szCs w:val="24"/>
        </w:rPr>
        <w:t>, PT. Raja Grafindo Persada, Jakarta 2002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H. Ali Achmad Chomzah, </w:t>
      </w:r>
      <w:r w:rsidRPr="00C81872">
        <w:rPr>
          <w:rFonts w:cs="Times New Roman"/>
          <w:i/>
          <w:sz w:val="24"/>
          <w:szCs w:val="24"/>
        </w:rPr>
        <w:t>Penyelesaian sengketa Hak Atas Tanah</w:t>
      </w:r>
      <w:r w:rsidRPr="00C81872">
        <w:rPr>
          <w:rFonts w:cs="Times New Roman"/>
          <w:sz w:val="24"/>
          <w:szCs w:val="24"/>
        </w:rPr>
        <w:t>, Prestasi Pustaka, Jakarta 2003</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H. Muchsin, </w:t>
      </w:r>
      <w:r w:rsidRPr="00C81872">
        <w:rPr>
          <w:rFonts w:cs="Times New Roman"/>
          <w:i/>
          <w:sz w:val="24"/>
          <w:szCs w:val="24"/>
        </w:rPr>
        <w:t>Hukum Agraria Indonesia Dalam Perspektif Sejarah</w:t>
      </w:r>
      <w:r w:rsidRPr="00C81872">
        <w:rPr>
          <w:rFonts w:cs="Times New Roman"/>
          <w:sz w:val="24"/>
          <w:szCs w:val="24"/>
        </w:rPr>
        <w:t>, Refika Aditama, Bandung 2010</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Helmi, </w:t>
      </w:r>
      <w:r w:rsidRPr="00C81872">
        <w:rPr>
          <w:rFonts w:cs="Times New Roman"/>
          <w:i/>
          <w:sz w:val="24"/>
          <w:szCs w:val="24"/>
        </w:rPr>
        <w:t>Hukum Perizinan Lingkungan hidup</w:t>
      </w:r>
      <w:r w:rsidRPr="00C81872">
        <w:rPr>
          <w:rFonts w:cs="Times New Roman"/>
          <w:sz w:val="24"/>
          <w:szCs w:val="24"/>
        </w:rPr>
        <w:t>, Sinar Grafika, Jakarta 2012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Jur Andi Hamzah, </w:t>
      </w:r>
      <w:r w:rsidRPr="00C81872">
        <w:rPr>
          <w:rFonts w:cs="Times New Roman"/>
          <w:i/>
          <w:sz w:val="24"/>
          <w:szCs w:val="24"/>
        </w:rPr>
        <w:t>Penegakan Hukum  Lingkungan</w:t>
      </w:r>
      <w:r w:rsidRPr="00C81872">
        <w:rPr>
          <w:rFonts w:cs="Times New Roman"/>
          <w:sz w:val="24"/>
          <w:szCs w:val="24"/>
        </w:rPr>
        <w:t>, Sinar Grafika, Jakarta 2008</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Lampiran UU No,17 Tahun 2007 tentang RPJPN 2005-2025, Bab II Kondisi Umum, Sub Bab II.I Kondisi Saat Ini</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Marheni Ria Siombo, </w:t>
      </w:r>
      <w:r w:rsidRPr="00C81872">
        <w:rPr>
          <w:rFonts w:cs="Times New Roman"/>
          <w:i/>
          <w:sz w:val="24"/>
          <w:szCs w:val="24"/>
        </w:rPr>
        <w:t>Hukum Lingkungan dan Pelaksanaan Pembangunan Berkelanjutan di Indonesia</w:t>
      </w:r>
      <w:r w:rsidRPr="00C81872">
        <w:rPr>
          <w:rFonts w:cs="Times New Roman"/>
          <w:sz w:val="24"/>
          <w:szCs w:val="24"/>
        </w:rPr>
        <w:t>, PT. Gramedia Pustaka Utama, Jakarta 2012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P.Joko Subagyo</w:t>
      </w:r>
      <w:r w:rsidRPr="00C81872">
        <w:rPr>
          <w:rFonts w:cs="Times New Roman"/>
          <w:i/>
          <w:sz w:val="24"/>
          <w:szCs w:val="24"/>
        </w:rPr>
        <w:t>, Hukum Lingkungan Masalah dan Penaggulangannya</w:t>
      </w:r>
      <w:r w:rsidRPr="00C81872">
        <w:rPr>
          <w:rFonts w:cs="Times New Roman"/>
          <w:sz w:val="24"/>
          <w:szCs w:val="24"/>
        </w:rPr>
        <w:t>, Rineka Cipta, Jakarta 1992</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R. Subekti, </w:t>
      </w:r>
      <w:r w:rsidRPr="00C81872">
        <w:rPr>
          <w:rFonts w:cs="Times New Roman"/>
          <w:i/>
          <w:sz w:val="24"/>
          <w:szCs w:val="24"/>
        </w:rPr>
        <w:t>Hukum Pembuktian</w:t>
      </w:r>
      <w:r w:rsidRPr="00C81872">
        <w:rPr>
          <w:rFonts w:cs="Times New Roman"/>
          <w:sz w:val="24"/>
          <w:szCs w:val="24"/>
        </w:rPr>
        <w:t>, Pradnya Paramita, Jakarta 2001</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 xml:space="preserve">Suriansyah Murhaini, </w:t>
      </w:r>
      <w:r w:rsidRPr="00C81872">
        <w:rPr>
          <w:rFonts w:cs="Times New Roman"/>
          <w:i/>
          <w:sz w:val="24"/>
          <w:szCs w:val="24"/>
        </w:rPr>
        <w:t>Kewenangan Pemerintah Daerah Mengurus Bidang Pertanahan,</w:t>
      </w:r>
      <w:r w:rsidRPr="00C81872">
        <w:rPr>
          <w:rFonts w:cs="Times New Roman"/>
          <w:sz w:val="24"/>
          <w:szCs w:val="24"/>
        </w:rPr>
        <w:t xml:space="preserve"> LaksBang Justitia, Surabaya 2009</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t>Undang-Undang No. 32 Tahun 2009 Tentang Perlindungan dan Pengelolaan Lingkungan Hidup</w:t>
      </w:r>
    </w:p>
    <w:p w:rsidR="00DB64AE" w:rsidRPr="00C81872" w:rsidRDefault="00DB64AE" w:rsidP="00D24978">
      <w:pPr>
        <w:spacing w:after="0" w:line="240" w:lineRule="auto"/>
        <w:ind w:left="284" w:hanging="284"/>
        <w:jc w:val="both"/>
        <w:rPr>
          <w:rFonts w:cs="Times New Roman"/>
          <w:sz w:val="24"/>
          <w:szCs w:val="24"/>
        </w:rPr>
      </w:pPr>
      <w:r w:rsidRPr="00C81872">
        <w:rPr>
          <w:rFonts w:cs="Times New Roman"/>
          <w:sz w:val="24"/>
          <w:szCs w:val="24"/>
        </w:rPr>
        <w:lastRenderedPageBreak/>
        <w:t>Undang-Undang Nomor 40 Tahun 2007 tentang Perseroan Terbatas</w:t>
      </w:r>
    </w:p>
    <w:p w:rsidR="00D24978" w:rsidRDefault="00D24978" w:rsidP="00C81872">
      <w:pPr>
        <w:spacing w:after="0" w:line="240" w:lineRule="auto"/>
        <w:rPr>
          <w:rFonts w:cs="Times New Roman"/>
          <w:sz w:val="24"/>
          <w:szCs w:val="24"/>
          <w:lang w:val="en-US"/>
        </w:rPr>
      </w:pPr>
    </w:p>
    <w:p w:rsidR="00DB64AE" w:rsidRPr="00C81872" w:rsidRDefault="00DB64AE" w:rsidP="00C81872">
      <w:pPr>
        <w:spacing w:after="0" w:line="240" w:lineRule="auto"/>
        <w:rPr>
          <w:rFonts w:cs="Times New Roman"/>
          <w:sz w:val="24"/>
          <w:szCs w:val="24"/>
        </w:rPr>
      </w:pPr>
      <w:r w:rsidRPr="00C81872">
        <w:rPr>
          <w:rFonts w:cs="Times New Roman"/>
          <w:sz w:val="24"/>
          <w:szCs w:val="24"/>
        </w:rPr>
        <w:t>Internet :</w:t>
      </w:r>
    </w:p>
    <w:p w:rsidR="00DB64AE" w:rsidRPr="00C81872" w:rsidRDefault="00DB64AE" w:rsidP="00D24978">
      <w:pPr>
        <w:pStyle w:val="FootnoteText"/>
        <w:numPr>
          <w:ilvl w:val="0"/>
          <w:numId w:val="33"/>
        </w:numPr>
        <w:ind w:left="426"/>
        <w:rPr>
          <w:rFonts w:cs="Times New Roman"/>
          <w:sz w:val="24"/>
          <w:szCs w:val="24"/>
        </w:rPr>
      </w:pPr>
      <w:r w:rsidRPr="00C81872">
        <w:rPr>
          <w:rStyle w:val="apple-style-span"/>
          <w:rFonts w:cs="Times New Roman"/>
          <w:sz w:val="24"/>
          <w:szCs w:val="24"/>
        </w:rPr>
        <w:t>library.usu.ac.id/download/fh/07002743.pdf, Diakses Tangal 11 Desember 2012</w:t>
      </w:r>
    </w:p>
    <w:p w:rsidR="00DB64AE" w:rsidRPr="00C81872" w:rsidRDefault="00DB64AE" w:rsidP="00D24978">
      <w:pPr>
        <w:pStyle w:val="FootnoteText"/>
        <w:numPr>
          <w:ilvl w:val="0"/>
          <w:numId w:val="33"/>
        </w:numPr>
        <w:ind w:left="426"/>
        <w:rPr>
          <w:rFonts w:cs="Times New Roman"/>
          <w:sz w:val="24"/>
          <w:szCs w:val="24"/>
        </w:rPr>
      </w:pPr>
      <w:r w:rsidRPr="00C81872">
        <w:rPr>
          <w:rStyle w:val="apple-style-span"/>
          <w:rFonts w:cs="Times New Roman"/>
          <w:sz w:val="24"/>
          <w:szCs w:val="24"/>
        </w:rPr>
        <w:t>www.digilib.ui.ac.id/file?file=pdf/abstrak-110783.pdf, Diakses Tangal 11 Desember 2012</w:t>
      </w:r>
    </w:p>
    <w:p w:rsidR="00DB64AE" w:rsidRPr="00C81872" w:rsidRDefault="00DB64AE" w:rsidP="00D24978">
      <w:pPr>
        <w:pStyle w:val="FootnoteText"/>
        <w:numPr>
          <w:ilvl w:val="0"/>
          <w:numId w:val="33"/>
        </w:numPr>
        <w:ind w:left="426"/>
        <w:rPr>
          <w:rFonts w:cs="Times New Roman"/>
          <w:sz w:val="24"/>
          <w:szCs w:val="24"/>
        </w:rPr>
      </w:pPr>
      <w:r w:rsidRPr="00C81872">
        <w:rPr>
          <w:rStyle w:val="apple-style-span"/>
          <w:rFonts w:cs="Times New Roman"/>
          <w:sz w:val="24"/>
          <w:szCs w:val="24"/>
        </w:rPr>
        <w:t>www.researchgate.net/mekanisme/eksploitasimigas/dan/tanggungjawabna. Diakses Tangal 11 Desember 2012</w:t>
      </w:r>
    </w:p>
    <w:p w:rsidR="00DB64AE" w:rsidRPr="00C81872" w:rsidRDefault="00DB64AE" w:rsidP="00C81872">
      <w:pPr>
        <w:spacing w:after="0" w:line="240" w:lineRule="auto"/>
        <w:jc w:val="center"/>
        <w:rPr>
          <w:rFonts w:cs="Times New Roman"/>
          <w:sz w:val="24"/>
          <w:szCs w:val="24"/>
        </w:rPr>
      </w:pPr>
    </w:p>
    <w:p w:rsidR="00DB64AE" w:rsidRPr="00C81872" w:rsidRDefault="00DB64AE" w:rsidP="00C81872">
      <w:pPr>
        <w:pStyle w:val="FootnoteText"/>
        <w:rPr>
          <w:rFonts w:cs="Times New Roman"/>
          <w:sz w:val="24"/>
          <w:szCs w:val="24"/>
        </w:rPr>
      </w:pPr>
    </w:p>
    <w:p w:rsidR="000E4599" w:rsidRPr="00C81872" w:rsidRDefault="000E4599" w:rsidP="00C81872">
      <w:pPr>
        <w:spacing w:after="0" w:line="240" w:lineRule="auto"/>
        <w:rPr>
          <w:sz w:val="24"/>
          <w:szCs w:val="24"/>
        </w:rPr>
      </w:pPr>
    </w:p>
    <w:sectPr w:rsidR="000E4599" w:rsidRPr="00C81872" w:rsidSect="002121C7">
      <w:headerReference w:type="even" r:id="rId8"/>
      <w:headerReference w:type="default" r:id="rId9"/>
      <w:footerReference w:type="even" r:id="rId10"/>
      <w:footerReference w:type="default" r:id="rId11"/>
      <w:pgSz w:w="11906" w:h="16838" w:code="9"/>
      <w:pgMar w:top="1366" w:right="1021" w:bottom="1140" w:left="1582" w:header="720" w:footer="720" w:gutter="0"/>
      <w:pgNumType w:start="123"/>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D0F" w:rsidRDefault="00622D0F" w:rsidP="002F4612">
      <w:pPr>
        <w:spacing w:after="0" w:line="240" w:lineRule="auto"/>
      </w:pPr>
      <w:r>
        <w:separator/>
      </w:r>
    </w:p>
  </w:endnote>
  <w:endnote w:type="continuationSeparator" w:id="0">
    <w:p w:rsidR="00622D0F" w:rsidRDefault="00622D0F" w:rsidP="002F46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2992"/>
      <w:docPartObj>
        <w:docPartGallery w:val="Page Numbers (Bottom of Page)"/>
        <w:docPartUnique/>
      </w:docPartObj>
    </w:sdtPr>
    <w:sdtContent>
      <w:p w:rsidR="00E56C00" w:rsidRDefault="00E56C00">
        <w:pPr>
          <w:pStyle w:val="Footer"/>
          <w:pBdr>
            <w:bottom w:val="single" w:sz="6" w:space="1" w:color="auto"/>
          </w:pBdr>
          <w:rPr>
            <w:lang w:val="en-US"/>
          </w:rPr>
        </w:pPr>
      </w:p>
      <w:p w:rsidR="00E56C00" w:rsidRDefault="00E56C00">
        <w:pPr>
          <w:pStyle w:val="Footer"/>
        </w:pPr>
        <w:fldSimple w:instr=" PAGE   \* MERGEFORMAT ">
          <w:r w:rsidR="00A81030">
            <w:rPr>
              <w:noProof/>
            </w:rPr>
            <w:t>136</w:t>
          </w:r>
        </w:fldSimple>
      </w:p>
    </w:sdtContent>
  </w:sdt>
  <w:p w:rsidR="00E56C00" w:rsidRDefault="00E56C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2988"/>
      <w:docPartObj>
        <w:docPartGallery w:val="Page Numbers (Bottom of Page)"/>
        <w:docPartUnique/>
      </w:docPartObj>
    </w:sdtPr>
    <w:sdtContent>
      <w:p w:rsidR="00E56C00" w:rsidRDefault="00E56C00">
        <w:pPr>
          <w:pStyle w:val="Footer"/>
          <w:pBdr>
            <w:bottom w:val="single" w:sz="6" w:space="1" w:color="auto"/>
          </w:pBdr>
          <w:jc w:val="right"/>
          <w:rPr>
            <w:lang w:val="en-US"/>
          </w:rPr>
        </w:pPr>
      </w:p>
      <w:p w:rsidR="00E56C00" w:rsidRDefault="00E56C00">
        <w:pPr>
          <w:pStyle w:val="Footer"/>
          <w:jc w:val="right"/>
        </w:pPr>
        <w:fldSimple w:instr=" PAGE   \* MERGEFORMAT ">
          <w:r w:rsidR="00A81030">
            <w:rPr>
              <w:noProof/>
            </w:rPr>
            <w:t>137</w:t>
          </w:r>
        </w:fldSimple>
      </w:p>
    </w:sdtContent>
  </w:sdt>
  <w:p w:rsidR="00B560E2" w:rsidRDefault="00B56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D0F" w:rsidRDefault="00622D0F" w:rsidP="002F4612">
      <w:pPr>
        <w:spacing w:after="0" w:line="240" w:lineRule="auto"/>
      </w:pPr>
      <w:r>
        <w:separator/>
      </w:r>
    </w:p>
  </w:footnote>
  <w:footnote w:type="continuationSeparator" w:id="0">
    <w:p w:rsidR="00622D0F" w:rsidRDefault="00622D0F" w:rsidP="002F4612">
      <w:pPr>
        <w:spacing w:after="0" w:line="240" w:lineRule="auto"/>
      </w:pPr>
      <w:r>
        <w:continuationSeparator/>
      </w:r>
    </w:p>
  </w:footnote>
  <w:footnote w:id="1">
    <w:p w:rsidR="004B75D6" w:rsidRPr="004B75D6" w:rsidRDefault="004B75D6" w:rsidP="004B75D6">
      <w:pPr>
        <w:pStyle w:val="FootnoteText"/>
        <w:jc w:val="both"/>
        <w:rPr>
          <w:lang w:val="en-US"/>
        </w:rPr>
      </w:pPr>
      <w:r>
        <w:rPr>
          <w:rStyle w:val="FootnoteReference"/>
        </w:rPr>
        <w:footnoteRef/>
      </w:r>
      <w:r>
        <w:t xml:space="preserve"> </w:t>
      </w:r>
      <w:r>
        <w:rPr>
          <w:lang w:val="en-US"/>
        </w:rPr>
        <w:t>Artikel skripsi. Dosen pembimbing skripsi: Prof.Dr. Telly Sumbu,SH,MH, Dr. Wempie J. Kumendong,SH,MH, Dr. Caecillia J.J. Waha,SH,MH.</w:t>
      </w:r>
    </w:p>
  </w:footnote>
  <w:footnote w:id="2">
    <w:p w:rsidR="004B75D6" w:rsidRPr="004B75D6" w:rsidRDefault="004B75D6" w:rsidP="004B75D6">
      <w:pPr>
        <w:pStyle w:val="FootnoteText"/>
        <w:jc w:val="both"/>
        <w:rPr>
          <w:lang w:val="en-US"/>
        </w:rPr>
      </w:pPr>
      <w:r w:rsidRPr="004B75D6">
        <w:rPr>
          <w:rStyle w:val="FootnoteReference"/>
        </w:rPr>
        <w:footnoteRef/>
      </w:r>
      <w:r w:rsidRPr="004B75D6">
        <w:t xml:space="preserve"> </w:t>
      </w:r>
      <w:r w:rsidRPr="004B75D6">
        <w:rPr>
          <w:lang w:val="en-US"/>
        </w:rPr>
        <w:t>NIM: 090711143.</w:t>
      </w:r>
    </w:p>
  </w:footnote>
  <w:footnote w:id="3">
    <w:p w:rsidR="00B560E2" w:rsidRPr="004B75D6" w:rsidRDefault="00B560E2" w:rsidP="004B75D6">
      <w:pPr>
        <w:pStyle w:val="FootnoteText"/>
        <w:jc w:val="both"/>
      </w:pPr>
      <w:r w:rsidRPr="004B75D6">
        <w:rPr>
          <w:rStyle w:val="FootnoteReference"/>
        </w:rPr>
        <w:footnoteRef/>
      </w:r>
      <w:r w:rsidRPr="004B75D6">
        <w:t xml:space="preserve"> </w:t>
      </w:r>
      <w:r w:rsidRPr="004B75D6">
        <w:rPr>
          <w:rStyle w:val="apple-style-span"/>
          <w:rFonts w:cs="Times New Roman"/>
        </w:rPr>
        <w:t>www.researchgate.net/mekanisme/eksploitasimigas/dan/tanggungjawabnya. Diakses Tangal 11 Desember 2012</w:t>
      </w:r>
    </w:p>
  </w:footnote>
  <w:footnote w:id="4">
    <w:p w:rsidR="00B560E2" w:rsidRPr="004B75D6" w:rsidRDefault="00B560E2"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w:t>
      </w:r>
      <w:r w:rsidRPr="004B75D6">
        <w:rPr>
          <w:rFonts w:cs="Times New Roman"/>
          <w:i/>
        </w:rPr>
        <w:t>Ibid</w:t>
      </w:r>
    </w:p>
  </w:footnote>
  <w:footnote w:id="5">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Undang-Undang Nomor 40 Tahun 2007 tentang Perseroan Terbatas</w:t>
      </w:r>
    </w:p>
  </w:footnote>
  <w:footnote w:id="6">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Undang-Undang Nomor 32 Tahun 2009 Tentang Perlindungan dan Pengelolaan Lingkungan Hidup</w:t>
      </w:r>
    </w:p>
  </w:footnote>
  <w:footnote w:id="7">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A’an efendi, </w:t>
      </w:r>
      <w:r w:rsidRPr="004B75D6">
        <w:rPr>
          <w:rFonts w:cs="Times New Roman"/>
          <w:i/>
        </w:rPr>
        <w:t xml:space="preserve">Penyelesaian Kasus Pencemaran Lingkungan Dari Aspek Hukum Lingkungan, </w:t>
      </w:r>
      <w:r w:rsidRPr="004B75D6">
        <w:rPr>
          <w:rFonts w:cs="Times New Roman"/>
        </w:rPr>
        <w:t>Adobe Pdf</w:t>
      </w:r>
    </w:p>
  </w:footnote>
  <w:footnote w:id="8">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Gatot Supramono, </w:t>
      </w:r>
      <w:r w:rsidRPr="004B75D6">
        <w:rPr>
          <w:rFonts w:cs="Times New Roman"/>
          <w:i/>
        </w:rPr>
        <w:t>Hukum Pertambangan Mineral dan Batu Bara di Indonesia, Op.Cit</w:t>
      </w:r>
      <w:r w:rsidRPr="004B75D6">
        <w:rPr>
          <w:rFonts w:cs="Times New Roman"/>
        </w:rPr>
        <w:t>, Hal 242</w:t>
      </w:r>
    </w:p>
  </w:footnote>
  <w:footnote w:id="9">
    <w:p w:rsidR="00DB64AE" w:rsidRPr="004B75D6" w:rsidRDefault="00DB64AE" w:rsidP="004B75D6">
      <w:pPr>
        <w:pStyle w:val="FootnoteText"/>
        <w:jc w:val="both"/>
        <w:rPr>
          <w:rFonts w:cs="Arial"/>
        </w:rPr>
      </w:pPr>
      <w:r w:rsidRPr="004B75D6">
        <w:rPr>
          <w:rStyle w:val="FootnoteReference"/>
          <w:rFonts w:cs="Arial"/>
        </w:rPr>
        <w:footnoteRef/>
      </w:r>
      <w:r w:rsidRPr="004B75D6">
        <w:rPr>
          <w:rFonts w:cs="Arial"/>
        </w:rPr>
        <w:t xml:space="preserve"> </w:t>
      </w:r>
      <w:r w:rsidRPr="004B75D6">
        <w:rPr>
          <w:rFonts w:cs="Times New Roman"/>
          <w:i/>
        </w:rPr>
        <w:t>Ibid</w:t>
      </w:r>
      <w:r w:rsidRPr="004B75D6">
        <w:rPr>
          <w:rFonts w:cs="Times New Roman"/>
        </w:rPr>
        <w:t>, Hal 242</w:t>
      </w:r>
    </w:p>
  </w:footnote>
  <w:footnote w:id="10">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Hal 242</w:t>
      </w:r>
    </w:p>
  </w:footnote>
  <w:footnote w:id="11">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Hal 243</w:t>
      </w:r>
    </w:p>
  </w:footnote>
  <w:footnote w:id="12">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R. Subekti, </w:t>
      </w:r>
      <w:r w:rsidRPr="004B75D6">
        <w:rPr>
          <w:rFonts w:cs="Times New Roman"/>
          <w:i/>
        </w:rPr>
        <w:t>Hukum Pembuktian</w:t>
      </w:r>
      <w:r w:rsidRPr="004B75D6">
        <w:rPr>
          <w:rFonts w:cs="Times New Roman"/>
        </w:rPr>
        <w:t>, Pradnya Paramita, Jakarta 2001, Hal 1</w:t>
      </w:r>
    </w:p>
  </w:footnote>
  <w:footnote w:id="13">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Marheni Ria Siombo, </w:t>
      </w:r>
      <w:r w:rsidRPr="004B75D6">
        <w:rPr>
          <w:rFonts w:cs="Times New Roman"/>
          <w:i/>
        </w:rPr>
        <w:t>Hukum Lingkungan dan Pelaksanaan Pembangunan Berkelanjutan di Indonesia</w:t>
      </w:r>
      <w:r w:rsidRPr="004B75D6">
        <w:rPr>
          <w:rFonts w:cs="Times New Roman"/>
        </w:rPr>
        <w:t xml:space="preserve">, </w:t>
      </w:r>
      <w:r w:rsidRPr="004B75D6">
        <w:rPr>
          <w:rFonts w:cs="Times New Roman"/>
          <w:i/>
        </w:rPr>
        <w:t>Op.Cit</w:t>
      </w:r>
      <w:r w:rsidRPr="004B75D6">
        <w:rPr>
          <w:rFonts w:cs="Times New Roman"/>
        </w:rPr>
        <w:t>, Hal 118</w:t>
      </w:r>
    </w:p>
  </w:footnote>
  <w:footnote w:id="14">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w:t>
      </w:r>
      <w:r w:rsidRPr="004B75D6">
        <w:rPr>
          <w:rFonts w:cs="Times New Roman"/>
          <w:i/>
        </w:rPr>
        <w:t>Ibid</w:t>
      </w:r>
      <w:r w:rsidRPr="004B75D6">
        <w:rPr>
          <w:rFonts w:cs="Times New Roman"/>
        </w:rPr>
        <w:t>, Hal 119</w:t>
      </w:r>
    </w:p>
  </w:footnote>
  <w:footnote w:id="15">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Hal 119</w:t>
      </w:r>
    </w:p>
  </w:footnote>
  <w:footnote w:id="16">
    <w:p w:rsidR="00DB64AE" w:rsidRPr="004B75D6" w:rsidRDefault="00DB64AE" w:rsidP="004B75D6">
      <w:pPr>
        <w:pStyle w:val="FootnoteText"/>
        <w:jc w:val="both"/>
        <w:rPr>
          <w:rFonts w:cs="Times New Roman"/>
        </w:rPr>
      </w:pPr>
      <w:r w:rsidRPr="004B75D6">
        <w:rPr>
          <w:rStyle w:val="FootnoteReference"/>
        </w:rPr>
        <w:footnoteRef/>
      </w:r>
      <w:r w:rsidRPr="004B75D6">
        <w:t xml:space="preserve"> </w:t>
      </w:r>
      <w:r w:rsidRPr="004B75D6">
        <w:rPr>
          <w:rFonts w:cs="Times New Roman"/>
        </w:rPr>
        <w:t xml:space="preserve">A’an Efendi, </w:t>
      </w:r>
      <w:r w:rsidRPr="004B75D6">
        <w:rPr>
          <w:rFonts w:cs="Times New Roman"/>
          <w:i/>
        </w:rPr>
        <w:t xml:space="preserve">penyelesaian sengketa lingkungan, Op.Cit, </w:t>
      </w:r>
      <w:r w:rsidRPr="004B75D6">
        <w:rPr>
          <w:rFonts w:cs="Times New Roman"/>
        </w:rPr>
        <w:t>Hal 16</w:t>
      </w:r>
    </w:p>
  </w:footnote>
  <w:footnote w:id="17">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A’an Efendi, </w:t>
      </w:r>
      <w:r w:rsidRPr="004B75D6">
        <w:rPr>
          <w:rFonts w:cs="Times New Roman"/>
          <w:i/>
        </w:rPr>
        <w:t xml:space="preserve">penyelesaian sengketa lingkungan, Ibid , </w:t>
      </w:r>
      <w:r w:rsidRPr="004B75D6">
        <w:rPr>
          <w:rFonts w:cs="Times New Roman"/>
        </w:rPr>
        <w:t>Hal 16</w:t>
      </w:r>
    </w:p>
  </w:footnote>
  <w:footnote w:id="18">
    <w:p w:rsidR="00DB64AE" w:rsidRPr="004B75D6" w:rsidRDefault="00DB64AE" w:rsidP="004B75D6">
      <w:pPr>
        <w:pStyle w:val="FootnoteText"/>
        <w:jc w:val="both"/>
      </w:pPr>
      <w:r w:rsidRPr="004B75D6">
        <w:rPr>
          <w:rStyle w:val="FootnoteReference"/>
        </w:rPr>
        <w:footnoteRef/>
      </w:r>
      <w:r w:rsidRPr="004B75D6">
        <w:t xml:space="preserve"> </w:t>
      </w:r>
      <w:hyperlink r:id="rId1" w:history="1">
        <w:r w:rsidRPr="004B75D6">
          <w:rPr>
            <w:rStyle w:val="Hyperlink"/>
            <w:rFonts w:cs="Times New Roman"/>
            <w:color w:val="auto"/>
            <w:u w:val="none"/>
          </w:rPr>
          <w:t>www.researchgate.net/mekanisme/eksploitasimigas/dan/tanggungjawabnya</w:t>
        </w:r>
      </w:hyperlink>
      <w:r w:rsidRPr="004B75D6">
        <w:rPr>
          <w:rStyle w:val="apple-style-span"/>
          <w:rFonts w:cs="Times New Roman"/>
        </w:rPr>
        <w:t xml:space="preserve">. </w:t>
      </w:r>
      <w:r w:rsidRPr="004B75D6">
        <w:rPr>
          <w:rStyle w:val="apple-style-span"/>
          <w:rFonts w:cs="Times New Roman"/>
          <w:i/>
        </w:rPr>
        <w:t>Op.Cit</w:t>
      </w:r>
    </w:p>
  </w:footnote>
  <w:footnote w:id="19">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A’an Efendi, </w:t>
      </w:r>
      <w:r w:rsidRPr="004B75D6">
        <w:rPr>
          <w:rFonts w:cs="Times New Roman"/>
          <w:i/>
        </w:rPr>
        <w:t xml:space="preserve">penyelesaian sengketa lingkungan, </w:t>
      </w:r>
      <w:r w:rsidRPr="004B75D6">
        <w:rPr>
          <w:rStyle w:val="apple-style-span"/>
          <w:rFonts w:cs="Times New Roman"/>
          <w:i/>
        </w:rPr>
        <w:t>Op.Cit</w:t>
      </w:r>
      <w:r w:rsidRPr="004B75D6">
        <w:rPr>
          <w:rFonts w:cs="Times New Roman"/>
          <w:i/>
        </w:rPr>
        <w:t xml:space="preserve">, </w:t>
      </w:r>
      <w:r w:rsidRPr="004B75D6">
        <w:rPr>
          <w:rFonts w:cs="Times New Roman"/>
        </w:rPr>
        <w:t>Hal 20</w:t>
      </w:r>
    </w:p>
  </w:footnote>
  <w:footnote w:id="20">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A’an Efendi, </w:t>
      </w:r>
      <w:r w:rsidRPr="004B75D6">
        <w:rPr>
          <w:rFonts w:cs="Times New Roman"/>
          <w:i/>
        </w:rPr>
        <w:t xml:space="preserve">penyelesaian sengketa lingkungan, Ibid , </w:t>
      </w:r>
      <w:r w:rsidRPr="004B75D6">
        <w:rPr>
          <w:rFonts w:cs="Times New Roman"/>
        </w:rPr>
        <w:t>Hal 20</w:t>
      </w:r>
    </w:p>
  </w:footnote>
  <w:footnote w:id="21">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 xml:space="preserve">Ibid , </w:t>
      </w:r>
      <w:r w:rsidRPr="004B75D6">
        <w:rPr>
          <w:rFonts w:cs="Times New Roman"/>
        </w:rPr>
        <w:t>Hal 20</w:t>
      </w:r>
    </w:p>
  </w:footnote>
  <w:footnote w:id="22">
    <w:p w:rsidR="00DB64AE" w:rsidRPr="004B75D6" w:rsidRDefault="00DB64AE" w:rsidP="004B75D6">
      <w:pPr>
        <w:pStyle w:val="FootnoteText"/>
        <w:jc w:val="both"/>
        <w:rPr>
          <w:rFonts w:cs="Times New Roman"/>
        </w:rPr>
      </w:pPr>
      <w:r w:rsidRPr="004B75D6">
        <w:rPr>
          <w:rStyle w:val="FootnoteReference"/>
        </w:rPr>
        <w:footnoteRef/>
      </w:r>
      <w:r w:rsidRPr="004B75D6">
        <w:t xml:space="preserve"> </w:t>
      </w:r>
      <w:r w:rsidRPr="004B75D6">
        <w:rPr>
          <w:rFonts w:cs="Times New Roman"/>
        </w:rPr>
        <w:t xml:space="preserve">Jur Andi Hamzah, </w:t>
      </w:r>
      <w:r w:rsidRPr="004B75D6">
        <w:rPr>
          <w:rFonts w:cs="Times New Roman"/>
          <w:i/>
        </w:rPr>
        <w:t>Penegakan Hukum  Lingkungan</w:t>
      </w:r>
      <w:r w:rsidRPr="004B75D6">
        <w:rPr>
          <w:rFonts w:cs="Times New Roman"/>
        </w:rPr>
        <w:t>, Sinar Grafika, Jakarta 2008, Hal 51</w:t>
      </w:r>
    </w:p>
  </w:footnote>
  <w:footnote w:id="23">
    <w:p w:rsidR="00DB64AE" w:rsidRPr="004B75D6" w:rsidRDefault="00DB64AE" w:rsidP="004B75D6">
      <w:pPr>
        <w:pStyle w:val="FootnoteText"/>
        <w:jc w:val="both"/>
        <w:rPr>
          <w:rFonts w:cs="Times New Roman"/>
        </w:rPr>
      </w:pPr>
      <w:r w:rsidRPr="004B75D6">
        <w:rPr>
          <w:rStyle w:val="FootnoteReference"/>
        </w:rPr>
        <w:footnoteRef/>
      </w:r>
      <w:r w:rsidRPr="004B75D6">
        <w:t xml:space="preserve"> </w:t>
      </w:r>
      <w:r w:rsidRPr="004B75D6">
        <w:rPr>
          <w:rFonts w:cs="Times New Roman"/>
          <w:i/>
        </w:rPr>
        <w:t>Ibid,</w:t>
      </w:r>
      <w:r w:rsidRPr="004B75D6">
        <w:rPr>
          <w:rFonts w:cs="Times New Roman"/>
        </w:rPr>
        <w:t xml:space="preserve"> Hal 51</w:t>
      </w:r>
    </w:p>
  </w:footnote>
  <w:footnote w:id="24">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Jur Andi Hamzah, </w:t>
      </w:r>
      <w:r w:rsidRPr="004B75D6">
        <w:rPr>
          <w:rFonts w:cs="Times New Roman"/>
          <w:i/>
        </w:rPr>
        <w:t>Penegakan Hukum  Lingkungan</w:t>
      </w:r>
      <w:r w:rsidRPr="004B75D6">
        <w:rPr>
          <w:rFonts w:cs="Times New Roman"/>
        </w:rPr>
        <w:t xml:space="preserve">, </w:t>
      </w:r>
      <w:r w:rsidRPr="004B75D6">
        <w:rPr>
          <w:rFonts w:cs="Times New Roman"/>
          <w:i/>
        </w:rPr>
        <w:t xml:space="preserve">Ibid, </w:t>
      </w:r>
      <w:r w:rsidRPr="004B75D6">
        <w:rPr>
          <w:rFonts w:cs="Times New Roman"/>
        </w:rPr>
        <w:t>Hal 51</w:t>
      </w:r>
    </w:p>
  </w:footnote>
  <w:footnote w:id="25">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 xml:space="preserve">Ibid, </w:t>
      </w:r>
      <w:r w:rsidRPr="004B75D6">
        <w:rPr>
          <w:rFonts w:cs="Times New Roman"/>
        </w:rPr>
        <w:t>Hal 51</w:t>
      </w:r>
    </w:p>
  </w:footnote>
  <w:footnote w:id="26">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Jur Andi Hamzah, </w:t>
      </w:r>
      <w:r w:rsidRPr="004B75D6">
        <w:rPr>
          <w:rFonts w:cs="Times New Roman"/>
          <w:i/>
        </w:rPr>
        <w:t>Penegakan Hukum  Lingkungan</w:t>
      </w:r>
      <w:r w:rsidRPr="004B75D6">
        <w:rPr>
          <w:rFonts w:cs="Times New Roman"/>
        </w:rPr>
        <w:t xml:space="preserve">, </w:t>
      </w:r>
      <w:r w:rsidRPr="004B75D6">
        <w:rPr>
          <w:rFonts w:cs="Times New Roman"/>
          <w:i/>
        </w:rPr>
        <w:t xml:space="preserve">Ibid, </w:t>
      </w:r>
      <w:r w:rsidRPr="004B75D6">
        <w:rPr>
          <w:rFonts w:cs="Times New Roman"/>
        </w:rPr>
        <w:t>Hal 52</w:t>
      </w:r>
    </w:p>
  </w:footnote>
  <w:footnote w:id="27">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 xml:space="preserve">Ibid, </w:t>
      </w:r>
      <w:r w:rsidRPr="004B75D6">
        <w:rPr>
          <w:rFonts w:cs="Times New Roman"/>
        </w:rPr>
        <w:t>Hal 52</w:t>
      </w:r>
    </w:p>
  </w:footnote>
  <w:footnote w:id="28">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Jur Andi Hamzah, </w:t>
      </w:r>
      <w:r w:rsidRPr="004B75D6">
        <w:rPr>
          <w:rFonts w:cs="Times New Roman"/>
          <w:i/>
        </w:rPr>
        <w:t>Penegakan Hukum  Lingkungan</w:t>
      </w:r>
      <w:r w:rsidRPr="004B75D6">
        <w:rPr>
          <w:rFonts w:cs="Times New Roman"/>
        </w:rPr>
        <w:t xml:space="preserve">, </w:t>
      </w:r>
      <w:r w:rsidRPr="004B75D6">
        <w:rPr>
          <w:rFonts w:cs="Times New Roman"/>
          <w:i/>
        </w:rPr>
        <w:t xml:space="preserve">Ibid, </w:t>
      </w:r>
      <w:r w:rsidRPr="004B75D6">
        <w:rPr>
          <w:rFonts w:cs="Times New Roman"/>
        </w:rPr>
        <w:t>Hal 52</w:t>
      </w:r>
    </w:p>
  </w:footnote>
  <w:footnote w:id="29">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Gunawan Widjaja, </w:t>
      </w:r>
      <w:r w:rsidRPr="004B75D6">
        <w:rPr>
          <w:rFonts w:cs="Times New Roman"/>
          <w:i/>
        </w:rPr>
        <w:t>Alternatif Penyelesaian Sengketa</w:t>
      </w:r>
      <w:r w:rsidRPr="004B75D6">
        <w:rPr>
          <w:rFonts w:cs="Times New Roman"/>
        </w:rPr>
        <w:t>, PT. Raja Grafindo Persada, Jakarta 2002, Hal 36</w:t>
      </w:r>
    </w:p>
  </w:footnote>
  <w:footnote w:id="30">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w:t>
      </w:r>
      <w:r w:rsidRPr="004B75D6">
        <w:rPr>
          <w:rFonts w:cs="Times New Roman"/>
          <w:i/>
        </w:rPr>
        <w:t xml:space="preserve">Ibid, </w:t>
      </w:r>
      <w:r w:rsidRPr="004B75D6">
        <w:rPr>
          <w:rFonts w:cs="Times New Roman"/>
        </w:rPr>
        <w:t>Hal 37</w:t>
      </w:r>
    </w:p>
  </w:footnote>
  <w:footnote w:id="31">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Gunawan Widjaja, </w:t>
      </w:r>
      <w:r w:rsidRPr="004B75D6">
        <w:rPr>
          <w:rFonts w:cs="Times New Roman"/>
          <w:i/>
        </w:rPr>
        <w:t>Alternatif Penyelesaian Sengketa</w:t>
      </w:r>
      <w:r w:rsidRPr="004B75D6">
        <w:rPr>
          <w:rFonts w:cs="Times New Roman"/>
        </w:rPr>
        <w:t xml:space="preserve">, </w:t>
      </w:r>
      <w:r w:rsidRPr="004B75D6">
        <w:rPr>
          <w:rFonts w:cs="Times New Roman"/>
          <w:i/>
        </w:rPr>
        <w:t xml:space="preserve">Ibid, </w:t>
      </w:r>
      <w:r w:rsidRPr="004B75D6">
        <w:rPr>
          <w:rFonts w:cs="Times New Roman"/>
        </w:rPr>
        <w:t>Hal 37</w:t>
      </w:r>
    </w:p>
  </w:footnote>
  <w:footnote w:id="32">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 xml:space="preserve">Ibid, </w:t>
      </w:r>
      <w:r w:rsidRPr="004B75D6">
        <w:rPr>
          <w:rFonts w:cs="Times New Roman"/>
        </w:rPr>
        <w:t>Hal 38</w:t>
      </w:r>
    </w:p>
  </w:footnote>
  <w:footnote w:id="33">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Gunawan Widjaja, </w:t>
      </w:r>
      <w:r w:rsidRPr="004B75D6">
        <w:rPr>
          <w:rFonts w:cs="Times New Roman"/>
          <w:i/>
        </w:rPr>
        <w:t>Alternatif Penyelesaian Sengketa</w:t>
      </w:r>
      <w:r w:rsidRPr="004B75D6">
        <w:rPr>
          <w:rFonts w:cs="Times New Roman"/>
        </w:rPr>
        <w:t xml:space="preserve">, </w:t>
      </w:r>
      <w:r w:rsidRPr="004B75D6">
        <w:rPr>
          <w:rFonts w:cs="Times New Roman"/>
          <w:i/>
        </w:rPr>
        <w:t xml:space="preserve">Ibid, </w:t>
      </w:r>
      <w:r w:rsidRPr="004B75D6">
        <w:rPr>
          <w:rFonts w:cs="Times New Roman"/>
        </w:rPr>
        <w:t>Hal 38</w:t>
      </w:r>
    </w:p>
  </w:footnote>
  <w:footnote w:id="34">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P. Joko Subagyo, </w:t>
      </w:r>
      <w:r w:rsidRPr="004B75D6">
        <w:rPr>
          <w:rFonts w:cs="Times New Roman"/>
          <w:i/>
        </w:rPr>
        <w:t>Hukum Lingkungan Masalah dan Penaggulangannya</w:t>
      </w:r>
      <w:r w:rsidRPr="004B75D6">
        <w:rPr>
          <w:rFonts w:cs="Times New Roman"/>
        </w:rPr>
        <w:t>, Rineka Cipta, Jakarta 1992</w:t>
      </w:r>
    </w:p>
  </w:footnote>
  <w:footnote w:id="35">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P. Joko Subagyo, </w:t>
      </w:r>
      <w:r w:rsidRPr="004B75D6">
        <w:rPr>
          <w:rFonts w:cs="Times New Roman"/>
          <w:i/>
        </w:rPr>
        <w:t>Hukum Lingkungan Masalah dan Penaggulangannya, Ibid,</w:t>
      </w:r>
      <w:r w:rsidRPr="004B75D6">
        <w:rPr>
          <w:rFonts w:cs="Times New Roman"/>
        </w:rPr>
        <w:t xml:space="preserve"> Hal 81</w:t>
      </w:r>
    </w:p>
  </w:footnote>
  <w:footnote w:id="36">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xml:space="preserve"> Hal 82</w:t>
      </w:r>
    </w:p>
  </w:footnote>
  <w:footnote w:id="37">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P. Joko Subagyo, </w:t>
      </w:r>
      <w:r w:rsidRPr="004B75D6">
        <w:rPr>
          <w:rFonts w:cs="Times New Roman"/>
          <w:i/>
        </w:rPr>
        <w:t>Hukum Lingkungan Masalah dan Penaggulangannya, Ibid,</w:t>
      </w:r>
      <w:r w:rsidRPr="004B75D6">
        <w:rPr>
          <w:rFonts w:cs="Times New Roman"/>
        </w:rPr>
        <w:t xml:space="preserve"> Hal 82</w:t>
      </w:r>
    </w:p>
  </w:footnote>
  <w:footnote w:id="38">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Eggi Sudjana Riyanto, </w:t>
      </w:r>
      <w:r w:rsidRPr="004B75D6">
        <w:rPr>
          <w:rFonts w:cs="Times New Roman"/>
          <w:i/>
        </w:rPr>
        <w:t>Penegakan Hukum Lingkungan</w:t>
      </w:r>
      <w:r w:rsidRPr="004B75D6">
        <w:rPr>
          <w:rFonts w:cs="Times New Roman"/>
        </w:rPr>
        <w:t>, PT. Gramedia, Jakarta 1999, Hal 206</w:t>
      </w:r>
    </w:p>
  </w:footnote>
  <w:footnote w:id="39">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xml:space="preserve"> Hal 83</w:t>
      </w:r>
    </w:p>
  </w:footnote>
  <w:footnote w:id="40">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P. Joko Subagyo, </w:t>
      </w:r>
      <w:r w:rsidRPr="004B75D6">
        <w:rPr>
          <w:rFonts w:cs="Times New Roman"/>
          <w:i/>
        </w:rPr>
        <w:t>Hukum Lingkungan Masalah dan Penaggulangannya, Ibid,</w:t>
      </w:r>
      <w:r w:rsidRPr="004B75D6">
        <w:rPr>
          <w:rFonts w:cs="Times New Roman"/>
        </w:rPr>
        <w:t xml:space="preserve"> Hal 83</w:t>
      </w:r>
    </w:p>
  </w:footnote>
  <w:footnote w:id="41">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P. Joko Subagyo, </w:t>
      </w:r>
      <w:r w:rsidRPr="004B75D6">
        <w:rPr>
          <w:rFonts w:cs="Times New Roman"/>
          <w:i/>
        </w:rPr>
        <w:t>Hukum Lingkungan Masalah dan Penaggulangannya, Ibid,</w:t>
      </w:r>
      <w:r w:rsidRPr="004B75D6">
        <w:rPr>
          <w:rFonts w:cs="Times New Roman"/>
        </w:rPr>
        <w:t xml:space="preserve"> Hal 84</w:t>
      </w:r>
    </w:p>
  </w:footnote>
  <w:footnote w:id="42">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xml:space="preserve"> Hal 84</w:t>
      </w:r>
    </w:p>
  </w:footnote>
  <w:footnote w:id="43">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Suriansyah Murhaini. </w:t>
      </w:r>
      <w:r w:rsidRPr="004B75D6">
        <w:rPr>
          <w:rFonts w:cs="Times New Roman"/>
          <w:i/>
        </w:rPr>
        <w:t>Kewenanga</w:t>
      </w:r>
      <w:r w:rsidRPr="004B75D6">
        <w:rPr>
          <w:rFonts w:cs="Times New Roman"/>
          <w:i/>
          <w:lang w:val="en-US"/>
        </w:rPr>
        <w:t xml:space="preserve"> </w:t>
      </w:r>
      <w:r w:rsidRPr="004B75D6">
        <w:rPr>
          <w:rFonts w:cs="Times New Roman"/>
          <w:i/>
        </w:rPr>
        <w:t>n Pemerintah Daerah Mengurus Biidang Pertanahan</w:t>
      </w:r>
      <w:r w:rsidRPr="004B75D6">
        <w:rPr>
          <w:rFonts w:cs="Times New Roman"/>
        </w:rPr>
        <w:t xml:space="preserve">, </w:t>
      </w:r>
      <w:r w:rsidRPr="004B75D6">
        <w:rPr>
          <w:rFonts w:cs="Times New Roman"/>
          <w:i/>
        </w:rPr>
        <w:t>Op.Cit</w:t>
      </w:r>
      <w:r w:rsidRPr="004B75D6">
        <w:rPr>
          <w:rFonts w:cs="Times New Roman"/>
        </w:rPr>
        <w:t>, Hal 30</w:t>
      </w:r>
    </w:p>
  </w:footnote>
  <w:footnote w:id="44">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Hal 30</w:t>
      </w:r>
    </w:p>
  </w:footnote>
  <w:footnote w:id="45">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Suriansyah Murhaini. </w:t>
      </w:r>
      <w:r w:rsidRPr="004B75D6">
        <w:rPr>
          <w:rFonts w:cs="Times New Roman"/>
          <w:i/>
        </w:rPr>
        <w:t>Kewenangan Pemerintah Daerah Mengurus Biidang Pertanahan</w:t>
      </w:r>
      <w:r w:rsidRPr="004B75D6">
        <w:rPr>
          <w:rFonts w:cs="Times New Roman"/>
        </w:rPr>
        <w:t xml:space="preserve">, </w:t>
      </w:r>
      <w:r w:rsidRPr="004B75D6">
        <w:rPr>
          <w:rFonts w:cs="Times New Roman"/>
          <w:i/>
        </w:rPr>
        <w:t>Ibid</w:t>
      </w:r>
      <w:r w:rsidRPr="004B75D6">
        <w:rPr>
          <w:rFonts w:cs="Times New Roman"/>
        </w:rPr>
        <w:t>, Hal 31</w:t>
      </w:r>
    </w:p>
  </w:footnote>
  <w:footnote w:id="46">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Hal 31</w:t>
      </w:r>
    </w:p>
  </w:footnote>
  <w:footnote w:id="47">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H. Ali Achmad Chomzah, </w:t>
      </w:r>
      <w:r w:rsidRPr="004B75D6">
        <w:rPr>
          <w:rFonts w:cs="Times New Roman"/>
          <w:i/>
        </w:rPr>
        <w:t>Penyelesaian sengketa Hak Atas Tanah</w:t>
      </w:r>
      <w:r w:rsidRPr="004B75D6">
        <w:rPr>
          <w:rFonts w:cs="Times New Roman"/>
        </w:rPr>
        <w:t>, Prestasi Pustaka, Jakarta 2003, Hal 22</w:t>
      </w:r>
    </w:p>
  </w:footnote>
  <w:footnote w:id="48">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w:t>
      </w:r>
      <w:r w:rsidRPr="004B75D6">
        <w:rPr>
          <w:rFonts w:cs="Times New Roman"/>
          <w:i/>
        </w:rPr>
        <w:t>Ibid</w:t>
      </w:r>
      <w:r w:rsidRPr="004B75D6">
        <w:rPr>
          <w:rFonts w:cs="Times New Roman"/>
        </w:rPr>
        <w:t>, Hal 22</w:t>
      </w:r>
    </w:p>
  </w:footnote>
  <w:footnote w:id="49">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H. Ali Achmad Chomzah, </w:t>
      </w:r>
      <w:r w:rsidRPr="004B75D6">
        <w:rPr>
          <w:rFonts w:cs="Times New Roman"/>
          <w:i/>
        </w:rPr>
        <w:t>Penyelesaian sengketa Hak Atas Tanah</w:t>
      </w:r>
      <w:r w:rsidRPr="004B75D6">
        <w:rPr>
          <w:rFonts w:cs="Times New Roman"/>
        </w:rPr>
        <w:t>,</w:t>
      </w:r>
      <w:r w:rsidRPr="004B75D6">
        <w:rPr>
          <w:rFonts w:cs="Times New Roman"/>
          <w:i/>
        </w:rPr>
        <w:t xml:space="preserve"> Ibid</w:t>
      </w:r>
      <w:r w:rsidRPr="004B75D6">
        <w:rPr>
          <w:rFonts w:cs="Times New Roman"/>
        </w:rPr>
        <w:t>, Hal 23</w:t>
      </w:r>
    </w:p>
  </w:footnote>
  <w:footnote w:id="50">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i/>
        </w:rPr>
        <w:t>Ibid</w:t>
      </w:r>
      <w:r w:rsidRPr="004B75D6">
        <w:rPr>
          <w:rFonts w:cs="Times New Roman"/>
        </w:rPr>
        <w:t>, Hal 23</w:t>
      </w:r>
    </w:p>
  </w:footnote>
  <w:footnote w:id="51">
    <w:p w:rsidR="00DB64AE" w:rsidRPr="004B75D6" w:rsidRDefault="00DB64AE" w:rsidP="004B75D6">
      <w:pPr>
        <w:pStyle w:val="FootnoteText"/>
        <w:jc w:val="both"/>
      </w:pPr>
      <w:r w:rsidRPr="004B75D6">
        <w:rPr>
          <w:rStyle w:val="FootnoteReference"/>
        </w:rPr>
        <w:footnoteRef/>
      </w:r>
      <w:r w:rsidRPr="004B75D6">
        <w:t xml:space="preserve"> </w:t>
      </w:r>
      <w:r w:rsidRPr="004B75D6">
        <w:rPr>
          <w:rFonts w:cs="Times New Roman"/>
        </w:rPr>
        <w:t xml:space="preserve">Suriansyah Murhaini. </w:t>
      </w:r>
      <w:r w:rsidRPr="004B75D6">
        <w:rPr>
          <w:rFonts w:cs="Times New Roman"/>
          <w:i/>
        </w:rPr>
        <w:t>Kewenangan Pemerintah Daerah Mengurus Bidang Pertanahan</w:t>
      </w:r>
      <w:r w:rsidRPr="004B75D6">
        <w:rPr>
          <w:rFonts w:cs="Times New Roman"/>
        </w:rPr>
        <w:t xml:space="preserve">, </w:t>
      </w:r>
      <w:r w:rsidRPr="004B75D6">
        <w:rPr>
          <w:rFonts w:cs="Times New Roman"/>
          <w:i/>
        </w:rPr>
        <w:t>Ibid</w:t>
      </w:r>
      <w:r w:rsidRPr="004B75D6">
        <w:rPr>
          <w:rFonts w:cs="Times New Roman"/>
        </w:rPr>
        <w:t>, Hal 32</w:t>
      </w:r>
    </w:p>
  </w:footnote>
  <w:footnote w:id="52">
    <w:p w:rsidR="00DB64AE" w:rsidRPr="004B75D6" w:rsidRDefault="00DB64AE" w:rsidP="004B75D6">
      <w:pPr>
        <w:pStyle w:val="FootnoteText"/>
        <w:jc w:val="both"/>
        <w:rPr>
          <w:rFonts w:cs="Times New Roman"/>
        </w:rPr>
      </w:pPr>
      <w:r w:rsidRPr="004B75D6">
        <w:rPr>
          <w:rStyle w:val="FootnoteReference"/>
          <w:rFonts w:cs="Times New Roman"/>
        </w:rPr>
        <w:footnoteRef/>
      </w:r>
      <w:r w:rsidRPr="004B75D6">
        <w:rPr>
          <w:rFonts w:cs="Times New Roman"/>
        </w:rPr>
        <w:t xml:space="preserve"> Helmi, </w:t>
      </w:r>
      <w:r w:rsidRPr="004B75D6">
        <w:rPr>
          <w:rFonts w:cs="Times New Roman"/>
          <w:i/>
        </w:rPr>
        <w:t>Hukum Perizinan Lingkungn Hidup</w:t>
      </w:r>
      <w:r w:rsidRPr="004B75D6">
        <w:rPr>
          <w:rFonts w:cs="Times New Roman"/>
        </w:rPr>
        <w:t xml:space="preserve">, </w:t>
      </w:r>
      <w:r w:rsidRPr="004B75D6">
        <w:rPr>
          <w:rFonts w:cs="Times New Roman"/>
          <w:i/>
        </w:rPr>
        <w:t>Op.Cit</w:t>
      </w:r>
      <w:r w:rsidRPr="004B75D6">
        <w:rPr>
          <w:rFonts w:cs="Times New Roman"/>
        </w:rPr>
        <w:t>, Hal 236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00" w:rsidRPr="00E56C00" w:rsidRDefault="00E56C00" w:rsidP="00E56C00">
    <w:pPr>
      <w:pStyle w:val="Header"/>
      <w:rPr>
        <w:lang w:val="en-US"/>
      </w:rPr>
    </w:pPr>
    <w:r w:rsidRPr="00AA2448">
      <w:rPr>
        <w:rFonts w:ascii="Calibri" w:hAnsi="Calibri"/>
        <w:i/>
      </w:rPr>
      <w:t>Lex Privatum</w:t>
    </w:r>
    <w:r w:rsidRPr="00AA2448">
      <w:rPr>
        <w:rFonts w:ascii="Calibri" w:hAnsi="Calibri"/>
      </w:rPr>
      <w:t>, Vol.I/No.1/Jan-Mrt/2013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C00" w:rsidRDefault="00E56C00" w:rsidP="00E56C00">
    <w:pPr>
      <w:pStyle w:val="Header"/>
      <w:jc w:val="right"/>
    </w:pPr>
    <w:r w:rsidRPr="00AA2448">
      <w:rPr>
        <w:rFonts w:ascii="Calibri" w:hAnsi="Calibri"/>
        <w:i/>
      </w:rPr>
      <w:t>Lex Privatum</w:t>
    </w:r>
    <w:r w:rsidRPr="00AA2448">
      <w:rPr>
        <w:rFonts w:ascii="Calibri" w:hAnsi="Calibri"/>
      </w:rPr>
      <w:t>, Vol.I/No.1/Jan-Mrt/2013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7A5E"/>
    <w:multiLevelType w:val="hybridMultilevel"/>
    <w:tmpl w:val="83908D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B7055A"/>
    <w:multiLevelType w:val="multilevel"/>
    <w:tmpl w:val="E100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F0476"/>
    <w:multiLevelType w:val="hybridMultilevel"/>
    <w:tmpl w:val="7AFEC9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B5433D"/>
    <w:multiLevelType w:val="hybridMultilevel"/>
    <w:tmpl w:val="99C483A8"/>
    <w:lvl w:ilvl="0" w:tplc="5732AAB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3023144"/>
    <w:multiLevelType w:val="hybridMultilevel"/>
    <w:tmpl w:val="CE76FE2A"/>
    <w:lvl w:ilvl="0" w:tplc="6CD20F6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A61BA4"/>
    <w:multiLevelType w:val="hybridMultilevel"/>
    <w:tmpl w:val="55FC1576"/>
    <w:lvl w:ilvl="0" w:tplc="73341BF8">
      <w:start w:val="18"/>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318169D6"/>
    <w:multiLevelType w:val="hybridMultilevel"/>
    <w:tmpl w:val="40F099FC"/>
    <w:lvl w:ilvl="0" w:tplc="5732AAB6">
      <w:start w:val="1"/>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8603FB"/>
    <w:multiLevelType w:val="hybridMultilevel"/>
    <w:tmpl w:val="3BAA79E8"/>
    <w:lvl w:ilvl="0" w:tplc="3E1AE53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45D183F"/>
    <w:multiLevelType w:val="hybridMultilevel"/>
    <w:tmpl w:val="6CC8D5E0"/>
    <w:lvl w:ilvl="0" w:tplc="8C284A9A">
      <w:start w:val="1"/>
      <w:numFmt w:val="lowerLetter"/>
      <w:lvlText w:val="%1."/>
      <w:lvlJc w:val="left"/>
      <w:pPr>
        <w:ind w:left="1070" w:hanging="360"/>
      </w:pPr>
      <w:rPr>
        <w:rFonts w:eastAsiaTheme="minorEastAsia"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5830E76"/>
    <w:multiLevelType w:val="multilevel"/>
    <w:tmpl w:val="421C91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B42C1F"/>
    <w:multiLevelType w:val="hybridMultilevel"/>
    <w:tmpl w:val="F9BC3A64"/>
    <w:lvl w:ilvl="0" w:tplc="04210015">
      <w:start w:val="1"/>
      <w:numFmt w:val="upp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3DD85378"/>
    <w:multiLevelType w:val="hybridMultilevel"/>
    <w:tmpl w:val="BFAEEF9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3F8B7A17"/>
    <w:multiLevelType w:val="hybridMultilevel"/>
    <w:tmpl w:val="F10E5BBC"/>
    <w:lvl w:ilvl="0" w:tplc="0D20FEC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14B1264"/>
    <w:multiLevelType w:val="hybridMultilevel"/>
    <w:tmpl w:val="AF7A5286"/>
    <w:lvl w:ilvl="0" w:tplc="301861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5C7600"/>
    <w:multiLevelType w:val="hybridMultilevel"/>
    <w:tmpl w:val="AB9063A2"/>
    <w:lvl w:ilvl="0" w:tplc="BAA85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804336"/>
    <w:multiLevelType w:val="hybridMultilevel"/>
    <w:tmpl w:val="5456EB86"/>
    <w:lvl w:ilvl="0" w:tplc="04210015">
      <w:start w:val="1"/>
      <w:numFmt w:val="upperLetter"/>
      <w:lvlText w:val="%1."/>
      <w:lvlJc w:val="left"/>
      <w:pPr>
        <w:ind w:left="1576" w:hanging="360"/>
      </w:pPr>
    </w:lvl>
    <w:lvl w:ilvl="1" w:tplc="04210019" w:tentative="1">
      <w:start w:val="1"/>
      <w:numFmt w:val="lowerLetter"/>
      <w:lvlText w:val="%2."/>
      <w:lvlJc w:val="left"/>
      <w:pPr>
        <w:ind w:left="2296" w:hanging="360"/>
      </w:pPr>
    </w:lvl>
    <w:lvl w:ilvl="2" w:tplc="0421001B" w:tentative="1">
      <w:start w:val="1"/>
      <w:numFmt w:val="lowerRoman"/>
      <w:lvlText w:val="%3."/>
      <w:lvlJc w:val="right"/>
      <w:pPr>
        <w:ind w:left="3016" w:hanging="180"/>
      </w:pPr>
    </w:lvl>
    <w:lvl w:ilvl="3" w:tplc="0421000F" w:tentative="1">
      <w:start w:val="1"/>
      <w:numFmt w:val="decimal"/>
      <w:lvlText w:val="%4."/>
      <w:lvlJc w:val="left"/>
      <w:pPr>
        <w:ind w:left="3736" w:hanging="360"/>
      </w:pPr>
    </w:lvl>
    <w:lvl w:ilvl="4" w:tplc="04210019" w:tentative="1">
      <w:start w:val="1"/>
      <w:numFmt w:val="lowerLetter"/>
      <w:lvlText w:val="%5."/>
      <w:lvlJc w:val="left"/>
      <w:pPr>
        <w:ind w:left="4456" w:hanging="360"/>
      </w:pPr>
    </w:lvl>
    <w:lvl w:ilvl="5" w:tplc="0421001B" w:tentative="1">
      <w:start w:val="1"/>
      <w:numFmt w:val="lowerRoman"/>
      <w:lvlText w:val="%6."/>
      <w:lvlJc w:val="right"/>
      <w:pPr>
        <w:ind w:left="5176" w:hanging="180"/>
      </w:pPr>
    </w:lvl>
    <w:lvl w:ilvl="6" w:tplc="0421000F" w:tentative="1">
      <w:start w:val="1"/>
      <w:numFmt w:val="decimal"/>
      <w:lvlText w:val="%7."/>
      <w:lvlJc w:val="left"/>
      <w:pPr>
        <w:ind w:left="5896" w:hanging="360"/>
      </w:pPr>
    </w:lvl>
    <w:lvl w:ilvl="7" w:tplc="04210019" w:tentative="1">
      <w:start w:val="1"/>
      <w:numFmt w:val="lowerLetter"/>
      <w:lvlText w:val="%8."/>
      <w:lvlJc w:val="left"/>
      <w:pPr>
        <w:ind w:left="6616" w:hanging="360"/>
      </w:pPr>
    </w:lvl>
    <w:lvl w:ilvl="8" w:tplc="0421001B" w:tentative="1">
      <w:start w:val="1"/>
      <w:numFmt w:val="lowerRoman"/>
      <w:lvlText w:val="%9."/>
      <w:lvlJc w:val="right"/>
      <w:pPr>
        <w:ind w:left="7336" w:hanging="180"/>
      </w:pPr>
    </w:lvl>
  </w:abstractNum>
  <w:abstractNum w:abstractNumId="16">
    <w:nsid w:val="43E01C95"/>
    <w:multiLevelType w:val="hybridMultilevel"/>
    <w:tmpl w:val="0F2C6430"/>
    <w:lvl w:ilvl="0" w:tplc="E3B051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A76C3B"/>
    <w:multiLevelType w:val="hybridMultilevel"/>
    <w:tmpl w:val="FC60A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D7150"/>
    <w:multiLevelType w:val="hybridMultilevel"/>
    <w:tmpl w:val="2CBCA1A2"/>
    <w:lvl w:ilvl="0" w:tplc="1910EE1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0F33E2D"/>
    <w:multiLevelType w:val="hybridMultilevel"/>
    <w:tmpl w:val="2F041F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1B1405E"/>
    <w:multiLevelType w:val="hybridMultilevel"/>
    <w:tmpl w:val="06924BBA"/>
    <w:lvl w:ilvl="0" w:tplc="F2984C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A8F7B4C"/>
    <w:multiLevelType w:val="hybridMultilevel"/>
    <w:tmpl w:val="91145474"/>
    <w:lvl w:ilvl="0" w:tplc="C37AB190">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5BF92D25"/>
    <w:multiLevelType w:val="hybridMultilevel"/>
    <w:tmpl w:val="A058D496"/>
    <w:lvl w:ilvl="0" w:tplc="9FD65378">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3">
    <w:nsid w:val="5E813BD5"/>
    <w:multiLevelType w:val="hybridMultilevel"/>
    <w:tmpl w:val="511AC7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15A72A4"/>
    <w:multiLevelType w:val="hybridMultilevel"/>
    <w:tmpl w:val="DBE470C4"/>
    <w:lvl w:ilvl="0" w:tplc="AD644D10">
      <w:start w:val="1"/>
      <w:numFmt w:val="decimal"/>
      <w:lvlText w:val="%1."/>
      <w:lvlJc w:val="left"/>
      <w:pPr>
        <w:ind w:left="1068" w:hanging="360"/>
      </w:pPr>
      <w:rPr>
        <w:rFonts w:hint="default"/>
      </w:rPr>
    </w:lvl>
    <w:lvl w:ilvl="1" w:tplc="04210019" w:tentative="1">
      <w:start w:val="1"/>
      <w:numFmt w:val="lowerLetter"/>
      <w:lvlText w:val="%2."/>
      <w:lvlJc w:val="left"/>
      <w:pPr>
        <w:ind w:left="1788" w:hanging="360"/>
      </w:pPr>
    </w:lvl>
    <w:lvl w:ilvl="2" w:tplc="0421001B" w:tentative="1">
      <w:start w:val="1"/>
      <w:numFmt w:val="lowerRoman"/>
      <w:lvlText w:val="%3."/>
      <w:lvlJc w:val="right"/>
      <w:pPr>
        <w:ind w:left="2508" w:hanging="180"/>
      </w:pPr>
    </w:lvl>
    <w:lvl w:ilvl="3" w:tplc="0421000F" w:tentative="1">
      <w:start w:val="1"/>
      <w:numFmt w:val="decimal"/>
      <w:lvlText w:val="%4."/>
      <w:lvlJc w:val="left"/>
      <w:pPr>
        <w:ind w:left="3228" w:hanging="360"/>
      </w:pPr>
    </w:lvl>
    <w:lvl w:ilvl="4" w:tplc="04210019" w:tentative="1">
      <w:start w:val="1"/>
      <w:numFmt w:val="lowerLetter"/>
      <w:lvlText w:val="%5."/>
      <w:lvlJc w:val="left"/>
      <w:pPr>
        <w:ind w:left="3948" w:hanging="360"/>
      </w:pPr>
    </w:lvl>
    <w:lvl w:ilvl="5" w:tplc="0421001B" w:tentative="1">
      <w:start w:val="1"/>
      <w:numFmt w:val="lowerRoman"/>
      <w:lvlText w:val="%6."/>
      <w:lvlJc w:val="right"/>
      <w:pPr>
        <w:ind w:left="4668" w:hanging="180"/>
      </w:pPr>
    </w:lvl>
    <w:lvl w:ilvl="6" w:tplc="0421000F" w:tentative="1">
      <w:start w:val="1"/>
      <w:numFmt w:val="decimal"/>
      <w:lvlText w:val="%7."/>
      <w:lvlJc w:val="left"/>
      <w:pPr>
        <w:ind w:left="5388" w:hanging="360"/>
      </w:pPr>
    </w:lvl>
    <w:lvl w:ilvl="7" w:tplc="04210019" w:tentative="1">
      <w:start w:val="1"/>
      <w:numFmt w:val="lowerLetter"/>
      <w:lvlText w:val="%8."/>
      <w:lvlJc w:val="left"/>
      <w:pPr>
        <w:ind w:left="6108" w:hanging="360"/>
      </w:pPr>
    </w:lvl>
    <w:lvl w:ilvl="8" w:tplc="0421001B" w:tentative="1">
      <w:start w:val="1"/>
      <w:numFmt w:val="lowerRoman"/>
      <w:lvlText w:val="%9."/>
      <w:lvlJc w:val="right"/>
      <w:pPr>
        <w:ind w:left="6828" w:hanging="180"/>
      </w:pPr>
    </w:lvl>
  </w:abstractNum>
  <w:abstractNum w:abstractNumId="25">
    <w:nsid w:val="621E51A9"/>
    <w:multiLevelType w:val="hybridMultilevel"/>
    <w:tmpl w:val="05AC14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602AD3"/>
    <w:multiLevelType w:val="hybridMultilevel"/>
    <w:tmpl w:val="136A3036"/>
    <w:lvl w:ilvl="0" w:tplc="DDEE718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3D24546"/>
    <w:multiLevelType w:val="multilevel"/>
    <w:tmpl w:val="64DE28B2"/>
    <w:lvl w:ilvl="0">
      <w:start w:val="1"/>
      <w:numFmt w:val="decimal"/>
      <w:lvlText w:val="%1"/>
      <w:lvlJc w:val="left"/>
      <w:pPr>
        <w:ind w:left="720" w:hanging="720"/>
      </w:pPr>
      <w:rPr>
        <w:rFonts w:hint="default"/>
        <w:b/>
      </w:rPr>
    </w:lvl>
    <w:lvl w:ilvl="1">
      <w:start w:val="1"/>
      <w:numFmt w:val="upperLetter"/>
      <w:lvlText w:val="%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3D41AB7"/>
    <w:multiLevelType w:val="hybridMultilevel"/>
    <w:tmpl w:val="F8CC5874"/>
    <w:lvl w:ilvl="0" w:tplc="23D613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683C2445"/>
    <w:multiLevelType w:val="hybridMultilevel"/>
    <w:tmpl w:val="075EF0D6"/>
    <w:lvl w:ilvl="0" w:tplc="2FD678F6">
      <w:start w:val="1"/>
      <w:numFmt w:val="upperLetter"/>
      <w:lvlText w:val="%1."/>
      <w:lvlJc w:val="left"/>
      <w:pPr>
        <w:ind w:left="720" w:hanging="360"/>
      </w:pPr>
      <w:rPr>
        <w:rFonts w:ascii="Times New Roman" w:eastAsia="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DE6F40"/>
    <w:multiLevelType w:val="multilevel"/>
    <w:tmpl w:val="06C4D19A"/>
    <w:lvl w:ilvl="0">
      <w:start w:val="1"/>
      <w:numFmt w:val="decimal"/>
      <w:lvlText w:val="%1."/>
      <w:lvlJc w:val="left"/>
      <w:pPr>
        <w:tabs>
          <w:tab w:val="num" w:pos="720"/>
        </w:tabs>
        <w:ind w:left="720" w:hanging="360"/>
      </w:pPr>
    </w:lvl>
    <w:lvl w:ilvl="1">
      <w:start w:val="1"/>
      <w:numFmt w:val="upperLetter"/>
      <w:lvlText w:val="%2."/>
      <w:lvlJc w:val="left"/>
      <w:pPr>
        <w:ind w:left="117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C2D3B2E"/>
    <w:multiLevelType w:val="hybridMultilevel"/>
    <w:tmpl w:val="CA7C92CC"/>
    <w:lvl w:ilvl="0" w:tplc="B1F0B0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6F4B4DBE"/>
    <w:multiLevelType w:val="hybridMultilevel"/>
    <w:tmpl w:val="6F28D082"/>
    <w:lvl w:ilvl="0" w:tplc="11683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C9742B"/>
    <w:multiLevelType w:val="hybridMultilevel"/>
    <w:tmpl w:val="EA50A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5BB6862"/>
    <w:multiLevelType w:val="hybridMultilevel"/>
    <w:tmpl w:val="80D016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
  </w:num>
  <w:num w:numId="3">
    <w:abstractNumId w:val="9"/>
  </w:num>
  <w:num w:numId="4">
    <w:abstractNumId w:val="10"/>
  </w:num>
  <w:num w:numId="5">
    <w:abstractNumId w:val="15"/>
  </w:num>
  <w:num w:numId="6">
    <w:abstractNumId w:val="23"/>
  </w:num>
  <w:num w:numId="7">
    <w:abstractNumId w:val="22"/>
  </w:num>
  <w:num w:numId="8">
    <w:abstractNumId w:val="30"/>
  </w:num>
  <w:num w:numId="9">
    <w:abstractNumId w:val="11"/>
  </w:num>
  <w:num w:numId="10">
    <w:abstractNumId w:val="0"/>
  </w:num>
  <w:num w:numId="11">
    <w:abstractNumId w:val="16"/>
  </w:num>
  <w:num w:numId="12">
    <w:abstractNumId w:val="26"/>
  </w:num>
  <w:num w:numId="13">
    <w:abstractNumId w:val="20"/>
  </w:num>
  <w:num w:numId="14">
    <w:abstractNumId w:val="12"/>
  </w:num>
  <w:num w:numId="15">
    <w:abstractNumId w:val="7"/>
  </w:num>
  <w:num w:numId="16">
    <w:abstractNumId w:val="29"/>
  </w:num>
  <w:num w:numId="17">
    <w:abstractNumId w:val="14"/>
  </w:num>
  <w:num w:numId="18">
    <w:abstractNumId w:val="34"/>
  </w:num>
  <w:num w:numId="19">
    <w:abstractNumId w:val="32"/>
  </w:num>
  <w:num w:numId="20">
    <w:abstractNumId w:val="17"/>
  </w:num>
  <w:num w:numId="21">
    <w:abstractNumId w:val="6"/>
  </w:num>
  <w:num w:numId="22">
    <w:abstractNumId w:val="19"/>
  </w:num>
  <w:num w:numId="23">
    <w:abstractNumId w:val="33"/>
  </w:num>
  <w:num w:numId="24">
    <w:abstractNumId w:val="3"/>
  </w:num>
  <w:num w:numId="25">
    <w:abstractNumId w:val="25"/>
  </w:num>
  <w:num w:numId="26">
    <w:abstractNumId w:val="21"/>
  </w:num>
  <w:num w:numId="27">
    <w:abstractNumId w:val="4"/>
  </w:num>
  <w:num w:numId="28">
    <w:abstractNumId w:val="13"/>
  </w:num>
  <w:num w:numId="29">
    <w:abstractNumId w:val="31"/>
  </w:num>
  <w:num w:numId="30">
    <w:abstractNumId w:val="2"/>
  </w:num>
  <w:num w:numId="31">
    <w:abstractNumId w:val="8"/>
  </w:num>
  <w:num w:numId="32">
    <w:abstractNumId w:val="24"/>
  </w:num>
  <w:num w:numId="33">
    <w:abstractNumId w:val="5"/>
  </w:num>
  <w:num w:numId="34">
    <w:abstractNumId w:val="28"/>
  </w:num>
  <w:num w:numId="3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F2EE7"/>
    <w:rsid w:val="00022ACE"/>
    <w:rsid w:val="000863B5"/>
    <w:rsid w:val="000D7915"/>
    <w:rsid w:val="000E4599"/>
    <w:rsid w:val="000F5E5C"/>
    <w:rsid w:val="000F7DD2"/>
    <w:rsid w:val="00136470"/>
    <w:rsid w:val="00190C42"/>
    <w:rsid w:val="001E5FFC"/>
    <w:rsid w:val="002121C7"/>
    <w:rsid w:val="002164C9"/>
    <w:rsid w:val="00230777"/>
    <w:rsid w:val="00255755"/>
    <w:rsid w:val="002B2B49"/>
    <w:rsid w:val="002F4612"/>
    <w:rsid w:val="00326FE6"/>
    <w:rsid w:val="0036065A"/>
    <w:rsid w:val="00363E06"/>
    <w:rsid w:val="00367FF6"/>
    <w:rsid w:val="004223DC"/>
    <w:rsid w:val="00431B72"/>
    <w:rsid w:val="00441E0F"/>
    <w:rsid w:val="004457F3"/>
    <w:rsid w:val="00457504"/>
    <w:rsid w:val="00467963"/>
    <w:rsid w:val="004713D5"/>
    <w:rsid w:val="004851CD"/>
    <w:rsid w:val="00485CAE"/>
    <w:rsid w:val="004B4DD9"/>
    <w:rsid w:val="004B75D6"/>
    <w:rsid w:val="004D4A49"/>
    <w:rsid w:val="004E493D"/>
    <w:rsid w:val="00512CBF"/>
    <w:rsid w:val="005170B0"/>
    <w:rsid w:val="005F6F70"/>
    <w:rsid w:val="0062092C"/>
    <w:rsid w:val="00622D0F"/>
    <w:rsid w:val="00630A9B"/>
    <w:rsid w:val="00697D7A"/>
    <w:rsid w:val="006B65CA"/>
    <w:rsid w:val="006C65C9"/>
    <w:rsid w:val="006E6ECA"/>
    <w:rsid w:val="00715FD9"/>
    <w:rsid w:val="007568A4"/>
    <w:rsid w:val="00776884"/>
    <w:rsid w:val="00782EC7"/>
    <w:rsid w:val="00784BAC"/>
    <w:rsid w:val="00787779"/>
    <w:rsid w:val="007B4800"/>
    <w:rsid w:val="00810A4F"/>
    <w:rsid w:val="008121E5"/>
    <w:rsid w:val="00814E32"/>
    <w:rsid w:val="00851E2B"/>
    <w:rsid w:val="00886F29"/>
    <w:rsid w:val="00887633"/>
    <w:rsid w:val="008B0844"/>
    <w:rsid w:val="00913510"/>
    <w:rsid w:val="00932B35"/>
    <w:rsid w:val="00970B9E"/>
    <w:rsid w:val="009C34E6"/>
    <w:rsid w:val="009D5633"/>
    <w:rsid w:val="009F0C94"/>
    <w:rsid w:val="00A10276"/>
    <w:rsid w:val="00A11B60"/>
    <w:rsid w:val="00A2763C"/>
    <w:rsid w:val="00A3174B"/>
    <w:rsid w:val="00A41737"/>
    <w:rsid w:val="00A442F9"/>
    <w:rsid w:val="00A450C1"/>
    <w:rsid w:val="00A81030"/>
    <w:rsid w:val="00AD737B"/>
    <w:rsid w:val="00AF7597"/>
    <w:rsid w:val="00B231A6"/>
    <w:rsid w:val="00B3698C"/>
    <w:rsid w:val="00B560E2"/>
    <w:rsid w:val="00BE0451"/>
    <w:rsid w:val="00BE46D5"/>
    <w:rsid w:val="00BF2EE7"/>
    <w:rsid w:val="00BF5B43"/>
    <w:rsid w:val="00BF735C"/>
    <w:rsid w:val="00C32CB2"/>
    <w:rsid w:val="00C42B13"/>
    <w:rsid w:val="00C81872"/>
    <w:rsid w:val="00CA0B56"/>
    <w:rsid w:val="00CC37F1"/>
    <w:rsid w:val="00CE57AB"/>
    <w:rsid w:val="00D0696F"/>
    <w:rsid w:val="00D241B7"/>
    <w:rsid w:val="00D24978"/>
    <w:rsid w:val="00D928FD"/>
    <w:rsid w:val="00DB64AE"/>
    <w:rsid w:val="00DB67BC"/>
    <w:rsid w:val="00DC7B32"/>
    <w:rsid w:val="00DF262B"/>
    <w:rsid w:val="00E56C00"/>
    <w:rsid w:val="00E826C5"/>
    <w:rsid w:val="00EB6446"/>
    <w:rsid w:val="00ED0AF4"/>
    <w:rsid w:val="00EF28CA"/>
    <w:rsid w:val="00EF2EE7"/>
    <w:rsid w:val="00F02F7D"/>
    <w:rsid w:val="00F130F6"/>
    <w:rsid w:val="00FB012D"/>
    <w:rsid w:val="00FB2EE8"/>
    <w:rsid w:val="00FC3D18"/>
    <w:rsid w:val="00FD56A4"/>
    <w:rsid w:val="00FE3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612"/>
    <w:pPr>
      <w:ind w:left="720"/>
      <w:contextualSpacing/>
    </w:pPr>
  </w:style>
  <w:style w:type="paragraph" w:styleId="Footer">
    <w:name w:val="footer"/>
    <w:basedOn w:val="Normal"/>
    <w:link w:val="FooterChar"/>
    <w:uiPriority w:val="99"/>
    <w:unhideWhenUsed/>
    <w:rsid w:val="002F4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612"/>
  </w:style>
  <w:style w:type="paragraph" w:styleId="FootnoteText">
    <w:name w:val="footnote text"/>
    <w:basedOn w:val="Normal"/>
    <w:link w:val="FootnoteTextChar"/>
    <w:uiPriority w:val="99"/>
    <w:unhideWhenUsed/>
    <w:rsid w:val="002F4612"/>
    <w:pPr>
      <w:spacing w:after="0" w:line="240" w:lineRule="auto"/>
    </w:pPr>
    <w:rPr>
      <w:sz w:val="20"/>
      <w:szCs w:val="20"/>
    </w:rPr>
  </w:style>
  <w:style w:type="character" w:customStyle="1" w:styleId="FootnoteTextChar">
    <w:name w:val="Footnote Text Char"/>
    <w:basedOn w:val="DefaultParagraphFont"/>
    <w:link w:val="FootnoteText"/>
    <w:uiPriority w:val="99"/>
    <w:rsid w:val="002F4612"/>
    <w:rPr>
      <w:sz w:val="20"/>
      <w:szCs w:val="20"/>
    </w:rPr>
  </w:style>
  <w:style w:type="character" w:styleId="FootnoteReference">
    <w:name w:val="footnote reference"/>
    <w:basedOn w:val="DefaultParagraphFont"/>
    <w:uiPriority w:val="99"/>
    <w:semiHidden/>
    <w:unhideWhenUsed/>
    <w:rsid w:val="002F4612"/>
    <w:rPr>
      <w:vertAlign w:val="superscript"/>
    </w:rPr>
  </w:style>
  <w:style w:type="character" w:customStyle="1" w:styleId="apple-style-span">
    <w:name w:val="apple-style-span"/>
    <w:basedOn w:val="DefaultParagraphFont"/>
    <w:rsid w:val="002F4612"/>
  </w:style>
  <w:style w:type="character" w:styleId="Hyperlink">
    <w:name w:val="Hyperlink"/>
    <w:basedOn w:val="DefaultParagraphFont"/>
    <w:uiPriority w:val="99"/>
    <w:unhideWhenUsed/>
    <w:rsid w:val="002F4612"/>
    <w:rPr>
      <w:color w:val="0000FF" w:themeColor="hyperlink"/>
      <w:u w:val="single"/>
    </w:rPr>
  </w:style>
  <w:style w:type="paragraph" w:customStyle="1" w:styleId="Default">
    <w:name w:val="Default"/>
    <w:rsid w:val="002F46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ullpost">
    <w:name w:val="fullpost"/>
    <w:basedOn w:val="DefaultParagraphFont"/>
    <w:rsid w:val="00776884"/>
  </w:style>
  <w:style w:type="character" w:customStyle="1" w:styleId="ilad">
    <w:name w:val="il_ad"/>
    <w:basedOn w:val="DefaultParagraphFont"/>
    <w:rsid w:val="00776884"/>
  </w:style>
  <w:style w:type="paragraph" w:styleId="NormalWeb">
    <w:name w:val="Normal (Web)"/>
    <w:basedOn w:val="Normal"/>
    <w:uiPriority w:val="99"/>
    <w:unhideWhenUsed/>
    <w:rsid w:val="00A417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1737"/>
    <w:rPr>
      <w:i/>
      <w:iCs/>
    </w:rPr>
  </w:style>
  <w:style w:type="paragraph" w:styleId="Header">
    <w:name w:val="header"/>
    <w:basedOn w:val="Normal"/>
    <w:link w:val="HeaderChar"/>
    <w:uiPriority w:val="99"/>
    <w:semiHidden/>
    <w:unhideWhenUsed/>
    <w:rsid w:val="00E56C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6C00"/>
  </w:style>
</w:styles>
</file>

<file path=word/webSettings.xml><?xml version="1.0" encoding="utf-8"?>
<w:webSettings xmlns:r="http://schemas.openxmlformats.org/officeDocument/2006/relationships" xmlns:w="http://schemas.openxmlformats.org/wordprocessingml/2006/main">
  <w:divs>
    <w:div w:id="350256786">
      <w:bodyDiv w:val="1"/>
      <w:marLeft w:val="0"/>
      <w:marRight w:val="0"/>
      <w:marTop w:val="0"/>
      <w:marBottom w:val="0"/>
      <w:divBdr>
        <w:top w:val="none" w:sz="0" w:space="0" w:color="auto"/>
        <w:left w:val="none" w:sz="0" w:space="0" w:color="auto"/>
        <w:bottom w:val="none" w:sz="0" w:space="0" w:color="auto"/>
        <w:right w:val="none" w:sz="0" w:space="0" w:color="auto"/>
      </w:divBdr>
    </w:div>
    <w:div w:id="697312512">
      <w:bodyDiv w:val="1"/>
      <w:marLeft w:val="0"/>
      <w:marRight w:val="0"/>
      <w:marTop w:val="0"/>
      <w:marBottom w:val="0"/>
      <w:divBdr>
        <w:top w:val="none" w:sz="0" w:space="0" w:color="auto"/>
        <w:left w:val="none" w:sz="0" w:space="0" w:color="auto"/>
        <w:bottom w:val="none" w:sz="0" w:space="0" w:color="auto"/>
        <w:right w:val="none" w:sz="0" w:space="0" w:color="auto"/>
      </w:divBdr>
    </w:div>
    <w:div w:id="166442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esearchgate.net/mekanisme/eksploitasimigas/dan/tanggungjawab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F411C-E72E-4707-A226-A58DAA3A5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15</Pages>
  <Words>6478</Words>
  <Characters>36926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userRZ</dc:creator>
  <cp:keywords/>
  <dc:description/>
  <cp:lastModifiedBy>UNSRAT</cp:lastModifiedBy>
  <cp:revision>92</cp:revision>
  <cp:lastPrinted>2013-02-04T15:40:00Z</cp:lastPrinted>
  <dcterms:created xsi:type="dcterms:W3CDTF">2012-12-11T01:33:00Z</dcterms:created>
  <dcterms:modified xsi:type="dcterms:W3CDTF">2013-02-15T03:37:00Z</dcterms:modified>
</cp:coreProperties>
</file>